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Washington, D.C. 20549</w:t>
      </w:r>
    </w:p>
    <w:p>
      <w:pPr>
        <w:spacing w:after="0" w:line="196"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(Amendment No.: 11 )*</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Flowserve Corp</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CUSIP Number: 34354P105</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Date of Event Which Requires Filing of this Statement: December 31, 2018</w:t>
      </w:r>
    </w:p>
    <w:p>
      <w:pPr>
        <w:spacing w:after="0" w:line="210"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21" w:lineRule="exact"/>
        <w:rPr>
          <w:sz w:val="24"/>
          <w:szCs w:val="24"/>
          <w:color w:val="auto"/>
        </w:rPr>
      </w:pPr>
    </w:p>
    <w:p>
      <w:pPr>
        <w:jc w:val="both"/>
        <w:ind w:left="100" w:right="9940" w:hanging="6"/>
        <w:spacing w:after="0" w:line="302" w:lineRule="auto"/>
        <w:tabs>
          <w:tab w:leader="none" w:pos="380" w:val="left"/>
        </w:tabs>
        <w:numPr>
          <w:ilvl w:val="0"/>
          <w:numId w:val="1"/>
        </w:numPr>
        <w:rPr>
          <w:rFonts w:ascii="Arial" w:cs="Arial" w:eastAsia="Arial" w:hAnsi="Arial"/>
          <w:sz w:val="15"/>
          <w:szCs w:val="15"/>
          <w:color w:val="auto"/>
        </w:rPr>
      </w:pPr>
      <w:r>
        <w:rPr>
          <w:rFonts w:ascii="Arial" w:cs="Arial" w:eastAsia="Arial" w:hAnsi="Arial"/>
          <w:sz w:val="15"/>
          <w:szCs w:val="15"/>
          <w:color w:val="auto"/>
        </w:rPr>
        <w:t>Rule 13d-1(b) ( ) Rule 13d-1(c) ( ) Rule 13d-1(d)</w:t>
      </w:r>
    </w:p>
    <w:p>
      <w:pPr>
        <w:spacing w:after="0" w:line="145" w:lineRule="exact"/>
        <w:rPr>
          <w:sz w:val="24"/>
          <w:szCs w:val="24"/>
          <w:color w:val="auto"/>
        </w:rPr>
      </w:pPr>
    </w:p>
    <w:p>
      <w:pPr>
        <w:ind w:right="300" w:firstLine="8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1" w:lineRule="exact"/>
        <w:rPr>
          <w:sz w:val="24"/>
          <w:szCs w:val="24"/>
          <w:color w:val="auto"/>
        </w:rPr>
      </w:pPr>
    </w:p>
    <w:p>
      <w:pPr>
        <w:ind w:firstLine="82"/>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1"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210820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80"/>
          </w:cols>
          <w:pgMar w:left="240" w:top="230" w:right="379" w:bottom="1440" w:gutter="0" w:footer="0" w:header="0"/>
        </w:sectPr>
      </w:pPr>
    </w:p>
    <w:bookmarkStart w:id="1" w:name="page2"/>
    <w:bookmarkEnd w:id="1"/>
    <w:p>
      <w:pPr>
        <w:ind w:left="5560"/>
        <w:spacing w:after="0"/>
        <w:rPr>
          <w:sz w:val="20"/>
          <w:szCs w:val="20"/>
          <w:color w:val="auto"/>
        </w:rPr>
      </w:pPr>
      <w:r>
        <w:rPr>
          <w:rFonts w:ascii="Arial" w:cs="Arial" w:eastAsia="Arial" w:hAnsi="Arial"/>
          <w:sz w:val="17"/>
          <w:szCs w:val="17"/>
          <w:color w:val="auto"/>
        </w:rPr>
        <w:t>13G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CUSIP No.: 34354P105</w:t>
      </w:r>
    </w:p>
    <w:p>
      <w:pPr>
        <w:spacing w:after="0" w:line="398" w:lineRule="exact"/>
        <w:rPr>
          <w:sz w:val="20"/>
          <w:szCs w:val="20"/>
          <w:color w:val="auto"/>
        </w:rPr>
      </w:pPr>
    </w:p>
    <w:p>
      <w:pPr>
        <w:ind w:left="220" w:hanging="212"/>
        <w:spacing w:after="0"/>
        <w:tabs>
          <w:tab w:leader="none" w:pos="220" w:val="left"/>
        </w:tabs>
        <w:numPr>
          <w:ilvl w:val="0"/>
          <w:numId w:val="2"/>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9" w:lineRule="exact"/>
        <w:rPr>
          <w:rFonts w:ascii="Arial" w:cs="Arial" w:eastAsia="Arial" w:hAnsi="Arial"/>
          <w:sz w:val="17"/>
          <w:szCs w:val="17"/>
          <w:color w:val="auto"/>
        </w:rPr>
      </w:pPr>
    </w:p>
    <w:p>
      <w:pPr>
        <w:ind w:left="620" w:hanging="515"/>
        <w:spacing w:after="0"/>
        <w:tabs>
          <w:tab w:leader="none" w:pos="620" w:val="left"/>
        </w:tabs>
        <w:numPr>
          <w:ilvl w:val="1"/>
          <w:numId w:val="3"/>
        </w:numPr>
        <w:rPr>
          <w:rFonts w:ascii="Arial" w:cs="Arial" w:eastAsia="Arial" w:hAnsi="Arial"/>
          <w:sz w:val="17"/>
          <w:szCs w:val="17"/>
          <w:color w:val="auto"/>
        </w:rPr>
      </w:pPr>
      <w:r>
        <w:rPr>
          <w:rFonts w:ascii="Arial" w:cs="Arial" w:eastAsia="Arial" w:hAnsi="Arial"/>
          <w:sz w:val="17"/>
          <w:szCs w:val="17"/>
          <w:color w:val="auto"/>
        </w:rPr>
        <w:t>B.</w:t>
      </w:r>
    </w:p>
    <w:p>
      <w:pPr>
        <w:spacing w:after="0" w:line="20" w:lineRule="exact"/>
        <w:rPr>
          <w:rFonts w:ascii="Arial" w:cs="Arial" w:eastAsia="Arial" w:hAnsi="Arial"/>
          <w:sz w:val="17"/>
          <w:szCs w:val="17"/>
          <w:color w:val="auto"/>
        </w:rPr>
      </w:pPr>
    </w:p>
    <w:p>
      <w:pPr>
        <w:ind w:left="620"/>
        <w:spacing w:after="0"/>
        <w:rPr>
          <w:rFonts w:ascii="Arial" w:cs="Arial" w:eastAsia="Arial" w:hAnsi="Arial"/>
          <w:sz w:val="17"/>
          <w:szCs w:val="17"/>
          <w:color w:val="auto"/>
        </w:rPr>
      </w:pPr>
      <w:r>
        <w:rPr>
          <w:rFonts w:ascii="Arial" w:cs="Arial" w:eastAsia="Arial" w:hAnsi="Arial"/>
          <w:sz w:val="17"/>
          <w:szCs w:val="17"/>
          <w:u w:val="single" w:color="auto"/>
          <w:color w:val="auto"/>
        </w:rPr>
        <w:t>X</w:t>
      </w:r>
    </w:p>
    <w:p>
      <w:pPr>
        <w:spacing w:after="0" w:line="195"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14"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CITIZENSHIP OF PLACE OF ORGANIZATION</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21" w:lineRule="exact"/>
        <w:rPr>
          <w:sz w:val="20"/>
          <w:szCs w:val="20"/>
          <w:color w:val="auto"/>
        </w:rPr>
      </w:pPr>
    </w:p>
    <w:p>
      <w:pPr>
        <w:ind w:left="100" w:right="823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VOTING POWER 152,222</w:t>
      </w:r>
    </w:p>
    <w:p>
      <w:pPr>
        <w:ind w:left="100" w:right="797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VOTING POWER 28,916</w:t>
      </w:r>
    </w:p>
    <w:p>
      <w:pPr>
        <w:ind w:left="100" w:right="785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DISPOSITIVE POWER 13,879,801</w:t>
      </w:r>
    </w:p>
    <w:p>
      <w:pPr>
        <w:ind w:left="140" w:right="7599" w:hanging="132"/>
        <w:spacing w:after="0" w:line="497" w:lineRule="auto"/>
        <w:tabs>
          <w:tab w:leader="none" w:pos="225"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DISPOSITIVE POWER 177,247</w:t>
      </w:r>
    </w:p>
    <w:p>
      <w:pPr>
        <w:ind w:left="100" w:right="3799" w:hanging="92"/>
        <w:spacing w:after="0" w:line="497" w:lineRule="auto"/>
        <w:tabs>
          <w:tab w:leader="none" w:pos="219" w:val="left"/>
        </w:tabs>
        <w:numPr>
          <w:ilvl w:val="0"/>
          <w:numId w:val="4"/>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14,057,048</w:t>
      </w:r>
    </w:p>
    <w:p>
      <w:pPr>
        <w:ind w:left="100" w:right="3199" w:hanging="92"/>
        <w:spacing w:after="0" w:line="497" w:lineRule="auto"/>
        <w:tabs>
          <w:tab w:leader="none" w:pos="314" w:val="left"/>
        </w:tabs>
        <w:numPr>
          <w:ilvl w:val="0"/>
          <w:numId w:val="4"/>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ind w:left="300" w:hanging="292"/>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10.74%</w:t>
      </w:r>
    </w:p>
    <w:p>
      <w:pPr>
        <w:spacing w:after="0" w:line="210" w:lineRule="exact"/>
        <w:rPr>
          <w:sz w:val="20"/>
          <w:szCs w:val="20"/>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TYPE OF REPORTING PERSON</w:t>
      </w:r>
    </w:p>
    <w:p>
      <w:pPr>
        <w:spacing w:after="0" w:line="209"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196"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Flowserve Corp</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5215 N. O'Connor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Suite 2300</w:t>
      </w:r>
    </w:p>
    <w:p>
      <w:pPr>
        <w:spacing w:after="0" w:line="7" w:lineRule="exact"/>
        <w:rPr>
          <w:sz w:val="20"/>
          <w:szCs w:val="20"/>
          <w:color w:val="auto"/>
        </w:rPr>
      </w:pPr>
    </w:p>
    <w:p>
      <w:pPr>
        <w:ind w:left="100"/>
        <w:spacing w:after="0"/>
        <w:rPr>
          <w:sz w:val="20"/>
          <w:szCs w:val="20"/>
          <w:color w:val="auto"/>
        </w:rPr>
      </w:pPr>
      <w:r>
        <w:rPr>
          <w:rFonts w:ascii="Arial" w:cs="Arial" w:eastAsia="Arial" w:hAnsi="Arial"/>
          <w:sz w:val="17"/>
          <w:szCs w:val="17"/>
          <w:color w:val="auto"/>
        </w:rPr>
        <w:t>Irving, TX 75039</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Malvern, PA 19355</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34354P105</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Arial" w:cs="Arial" w:eastAsia="Arial" w:hAnsi="Arial"/>
          <w:sz w:val="17"/>
          <w:szCs w:val="17"/>
          <w:color w:val="auto"/>
        </w:rPr>
      </w:pPr>
      <w:r>
        <w:rPr>
          <w:rFonts w:ascii="Arial" w:cs="Arial" w:eastAsia="Arial" w:hAnsi="Arial"/>
          <w:sz w:val="17"/>
          <w:szCs w:val="17"/>
          <w:color w:val="auto"/>
        </w:rPr>
        <w:t>Amount Beneficially Owned: 14,057,048</w:t>
      </w:r>
    </w:p>
    <w:p>
      <w:pPr>
        <w:ind w:left="340" w:hanging="246"/>
        <w:spacing w:after="0"/>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3" w:name="page4"/>
    <w:bookmarkEnd w:id="3"/>
    <w:p>
      <w:pPr>
        <w:ind w:left="360" w:hanging="266"/>
        <w:spacing w:after="0"/>
        <w:tabs>
          <w:tab w:leader="none" w:pos="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09" w:lineRule="exact"/>
        <w:rPr>
          <w:rFonts w:ascii="Arial" w:cs="Arial" w:eastAsia="Arial" w:hAnsi="Arial"/>
          <w:sz w:val="17"/>
          <w:szCs w:val="17"/>
          <w:color w:val="auto"/>
        </w:rPr>
      </w:pPr>
    </w:p>
    <w:p>
      <w:pPr>
        <w:ind w:left="340" w:hanging="246"/>
        <w:spacing w:after="0"/>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sole power to vote or direct to vote: 152,222</w:t>
      </w:r>
    </w:p>
    <w:p>
      <w:pPr>
        <w:spacing w:after="0" w:line="209" w:lineRule="exact"/>
        <w:rPr>
          <w:rFonts w:ascii="Arial" w:cs="Arial" w:eastAsia="Arial" w:hAnsi="Arial"/>
          <w:sz w:val="17"/>
          <w:szCs w:val="17"/>
          <w:color w:val="auto"/>
        </w:rPr>
      </w:pPr>
    </w:p>
    <w:p>
      <w:pPr>
        <w:ind w:left="380" w:hanging="286"/>
        <w:spacing w:after="0"/>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shared power to vote or direct to vote: 28,916</w:t>
      </w:r>
    </w:p>
    <w:p>
      <w:pPr>
        <w:spacing w:after="0" w:line="209" w:lineRule="exact"/>
        <w:rPr>
          <w:rFonts w:ascii="Arial" w:cs="Arial" w:eastAsia="Arial" w:hAnsi="Arial"/>
          <w:sz w:val="17"/>
          <w:szCs w:val="17"/>
          <w:color w:val="auto"/>
        </w:rPr>
      </w:pPr>
    </w:p>
    <w:p>
      <w:pPr>
        <w:ind w:left="100" w:right="6380" w:hanging="6"/>
        <w:spacing w:after="0" w:line="563" w:lineRule="auto"/>
        <w:tabs>
          <w:tab w:leader="none" w:pos="442" w:val="left"/>
        </w:tabs>
        <w:numPr>
          <w:ilvl w:val="0"/>
          <w:numId w:val="10"/>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13,879,801 (iv) shared power to dispose or to direct the disposition of: 177,247</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r>
        <w:rPr>
          <w:rFonts w:ascii="Arial" w:cs="Arial" w:eastAsia="Arial" w:hAnsi="Arial"/>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10" w:lineRule="exact"/>
        <w:rPr>
          <w:sz w:val="20"/>
          <w:szCs w:val="20"/>
          <w:color w:val="auto"/>
        </w:rPr>
      </w:pPr>
    </w:p>
    <w:p>
      <w:pPr>
        <w:ind w:firstLine="86"/>
        <w:spacing w:after="0" w:line="261"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Date: 02/11/2019</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329565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400"/>
          </w:cols>
          <w:pgMar w:left="240" w:top="365" w:right="25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Appendix A</w:t>
      </w:r>
    </w:p>
    <w:p>
      <w:pPr>
        <w:spacing w:after="0" w:line="210" w:lineRule="exact"/>
        <w:rPr>
          <w:sz w:val="20"/>
          <w:szCs w:val="20"/>
          <w:color w:val="auto"/>
        </w:rPr>
      </w:pPr>
    </w:p>
    <w:p>
      <w:pPr>
        <w:ind w:firstLine="40"/>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112,193 shares or .08% of the Common Stock outstanding of the Company as a result of its serving as investment manager of collective trust accounts.</w:t>
      </w:r>
    </w:p>
    <w:p>
      <w:pPr>
        <w:spacing w:after="0" w:line="161" w:lineRule="exact"/>
        <w:rPr>
          <w:sz w:val="20"/>
          <w:szCs w:val="20"/>
          <w:color w:val="auto"/>
        </w:rPr>
      </w:pPr>
    </w:p>
    <w:p>
      <w:pPr>
        <w:ind w:right="60"/>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103,545 shares or .07% of the Common Stock outstanding of the Company as a result of its serving as investment manager of Australian investment offerings.</w:t>
      </w:r>
    </w:p>
    <w:sectPr>
      <w:pgSz w:w="11900" w:h="16838" w:orient="portrait"/>
      <w:cols w:equalWidth="0" w:num="1">
        <w:col w:w="11180"/>
      </w:cols>
      <w:pgMar w:left="240" w:top="365"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2"/>
    </w:lvl>
    <w:lvl w:ilvl="1">
      <w:lvlJc w:val="left"/>
      <w:lvlText w:val="%2."/>
      <w:numFmt w:val="upperLetter"/>
      <w:start w:val="1"/>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2019-12-04T23:10:03Z</dcterms:created>
  <dcterms:modified xsi:type="dcterms:W3CDTF">2019-12-04T23:10:03Z</dcterms:modified>
</cp:coreProperties>
</file>