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-246380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UNITED STATES SECURITIES AND EXCHANGE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5184140</wp:posOffset>
            </wp:positionH>
            <wp:positionV relativeFrom="paragraph">
              <wp:posOffset>1905</wp:posOffset>
            </wp:positionV>
            <wp:extent cx="59690" cy="669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3913505</wp:posOffset>
            </wp:positionH>
            <wp:positionV relativeFrom="paragraph">
              <wp:posOffset>1905</wp:posOffset>
            </wp:positionV>
            <wp:extent cx="59690" cy="669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COMMISSION</w:t>
            </w: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808080"/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3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-1708785</wp:posOffset>
            </wp:positionH>
            <wp:positionV relativeFrom="paragraph">
              <wp:posOffset>13970</wp:posOffset>
            </wp:positionV>
            <wp:extent cx="6987540" cy="51758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440"/>
            <w:col w:w="8400"/>
          </w:cols>
          <w:pgMar w:left="460" w:top="226" w:right="35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Okray Thomas B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5215 N. O'CONNOR BOULEVARD</w:t>
            </w: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SUITE 700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0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IRVING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TX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75039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FLOWSERVE CORP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FLS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9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05/25/2023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00"/>
        <w:spacing w:after="0" w:line="223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Rule 10b5-1(c) Transaction Indication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40" w:right="34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to indicate that a transaction was made pursuant to a contract, instruction or written plan that is intended to satisfy the affirmative defense conditions of Rule 10b5-1(c). See Instruction 10.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5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4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 V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05/25/2023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4,453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33.68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4,453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10.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4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-1909445</wp:posOffset>
            </wp:positionV>
            <wp:extent cx="29845" cy="1913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6" w:right="359" w:bottom="1440" w:gutter="0" w:footer="0" w:header="0"/>
          <w:type w:val="continuous"/>
        </w:sectPr>
      </w:pP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the annual restricted stock grant for the director under the Flowserve Long-Term Incentive Plan. The shares vest on May 25, 2024.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Shakeeb U. Mir,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12973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-17780</wp:posOffset>
            </wp:positionV>
            <wp:extent cx="29146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05/30/2023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508635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40" w:space="140"/>
            <w:col w:w="2300"/>
          </w:cols>
          <w:pgMar w:left="460" w:top="226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22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89107" TargetMode="External"/><Relationship Id="rId13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2023-05-30T15:33:41Z</dcterms:created>
  <dcterms:modified xsi:type="dcterms:W3CDTF">2023-05-30T15:33:41Z</dcterms:modified>
</cp:coreProperties>
</file>