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jc w:val="right"/>
        <w:rPr/>
      </w:pPr>
      <w:r>
        <w:rPr/>
      </w:r>
    </w:p>
    <w:tbl>
      <w:tblPr>
        <w:tblW w:w="1041" w:type="dxa"/>
        <w:jc w:val="center"/>
        <w:tblInd w:w="0" w:type="dxa"/>
        <w:tblCellMar>
          <w:top w:w="28" w:type="dxa"/>
          <w:left w:w="28" w:type="dxa"/>
          <w:bottom w:w="28" w:type="dxa"/>
          <w:right w:w="28" w:type="dxa"/>
        </w:tblCellMar>
      </w:tblPr>
      <w:tblGrid>
        <w:gridCol w:w="124"/>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372"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hanging="180"/>
        <w:jc w:val="right"/>
        <w:rPr/>
      </w:pPr>
      <w:r>
        <w:rPr/>
      </w:r>
    </w:p>
    <w:p>
      <w:pPr>
        <w:pStyle w:val="TextBody"/>
        <w:spacing w:lineRule="auto" w:line="288" w:before="60" w:after="283"/>
        <w:jc w:val="center"/>
        <w:rPr>
          <w:rFonts w:ascii="Times New Roman;sans-serif" w:hAnsi="Times New Roman;sans-serif"/>
          <w:b/>
          <w:color w:val="000000"/>
          <w:sz w:val="20"/>
        </w:rPr>
      </w:pPr>
      <w:r>
        <w:rPr>
          <w:rFonts w:ascii="Times New Roman;sans-serif" w:hAnsi="Times New Roman;sans-serif"/>
          <w:b/>
          <w:color w:val="000000"/>
          <w:sz w:val="20"/>
        </w:rPr>
        <w:t>UNITED STATES</w:t>
      </w:r>
    </w:p>
    <w:p>
      <w:pPr>
        <w:pStyle w:val="TextBody"/>
        <w:spacing w:lineRule="auto" w:line="288" w:before="60" w:after="283"/>
        <w:jc w:val="center"/>
        <w:rPr>
          <w:rFonts w:ascii="Times New Roman;sans-serif" w:hAnsi="Times New Roman;sans-serif"/>
          <w:b/>
          <w:color w:val="000000"/>
          <w:sz w:val="20"/>
        </w:rPr>
      </w:pPr>
      <w:r>
        <w:rPr>
          <w:rFonts w:ascii="Times New Roman;sans-serif" w:hAnsi="Times New Roman;sans-serif"/>
          <w:b/>
          <w:color w:val="000000"/>
          <w:sz w:val="20"/>
        </w:rPr>
        <w:t>SECURITIES AND EXCHANGE COMMISSION</w:t>
      </w:r>
    </w:p>
    <w:p>
      <w:pPr>
        <w:pStyle w:val="TextBody"/>
        <w:spacing w:lineRule="auto" w:line="288" w:before="60" w:after="283"/>
        <w:jc w:val="center"/>
        <w:rPr>
          <w:rFonts w:ascii="Times New Roman;sans-serif" w:hAnsi="Times New Roman;sans-serif"/>
          <w:b/>
          <w:color w:val="000000"/>
          <w:sz w:val="20"/>
        </w:rPr>
      </w:pPr>
      <w:r>
        <w:rPr>
          <w:rFonts w:ascii="Times New Roman;sans-serif" w:hAnsi="Times New Roman;sans-serif"/>
          <w:b/>
          <w:color w:val="000000"/>
          <w:sz w:val="20"/>
        </w:rPr>
        <w:t>WASHINGTON, D.C. 20549</w:t>
      </w:r>
    </w:p>
    <w:p>
      <w:pPr>
        <w:pStyle w:val="TextBody"/>
        <w:spacing w:before="0" w:after="0"/>
        <w:jc w:val="center"/>
        <w:rPr/>
      </w:pPr>
      <w:r>
        <w:rPr/>
      </w:r>
    </w:p>
    <w:p>
      <w:pPr>
        <w:pStyle w:val="TextBody"/>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 xml:space="preserve">FORM 10-Q </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(Mark One)</w:t>
      </w:r>
    </w:p>
    <w:p>
      <w:pPr>
        <w:pStyle w:val="TextBody"/>
        <w:spacing w:lineRule="auto" w:line="288" w:before="120" w:after="283"/>
        <w:ind w:left="0" w:right="0" w:hanging="360"/>
        <w:jc w:val="center"/>
        <w:rPr/>
      </w:pPr>
      <w:r>
        <w:rPr>
          <w:color w:val="000000"/>
        </w:rPr>
        <w:t>☑    </w:t>
      </w:r>
      <w:r>
        <w:rPr>
          <w:rFonts w:ascii="Times New Roman;sans-serif" w:hAnsi="Times New Roman;sans-serif"/>
          <w:b/>
          <w:color w:val="000000"/>
          <w:sz w:val="20"/>
        </w:rPr>
        <w:t xml:space="preserve">QUARTERLY REPORT PURSUANT TO SECTION 13 OR 15(d) OF THE SECURITIES EXCHANGE ACT OF 1934 For the quarterly period ended March 31, 2023 </w:t>
      </w:r>
    </w:p>
    <w:p>
      <w:pPr>
        <w:pStyle w:val="TextBody"/>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OR</w:t>
      </w:r>
    </w:p>
    <w:p>
      <w:pPr>
        <w:pStyle w:val="TextBody"/>
        <w:spacing w:lineRule="auto" w:line="288" w:before="0" w:after="0"/>
        <w:jc w:val="center"/>
        <w:rPr/>
      </w:pPr>
      <w:r>
        <w:rPr>
          <w:color w:val="000000"/>
        </w:rPr>
        <w:t xml:space="preserve">☐ </w:t>
      </w:r>
      <w:r>
        <w:rPr>
          <w:rFonts w:ascii="Times New Roman;sans-serif" w:hAnsi="Times New Roman;sans-serif"/>
          <w:b/>
          <w:color w:val="000000"/>
          <w:sz w:val="20"/>
        </w:rPr>
        <w:t xml:space="preserve">TRANSITION REPORT PURSUANT TO SECTION 13 OR 15(d) OF THE SECURITIES EXCHANGE ACT OF 1934 </w:t>
      </w:r>
    </w:p>
    <w:p>
      <w:pPr>
        <w:pStyle w:val="TextBody"/>
        <w:spacing w:lineRule="auto" w:line="288" w:before="0" w:after="0"/>
        <w:jc w:val="center"/>
        <w:rPr/>
      </w:pPr>
      <w:r>
        <w:rPr>
          <w:rFonts w:ascii="Times New Roman;sans-serif" w:hAnsi="Times New Roman;sans-serif"/>
          <w:b/>
          <w:color w:val="000000"/>
          <w:sz w:val="20"/>
        </w:rPr>
        <w:t>For the transition period from</w:t>
      </w:r>
      <w:r>
        <w:rPr>
          <w:color w:val="000000"/>
        </w:rPr>
        <w:t xml:space="preserve"> </w:t>
      </w:r>
      <w:r>
        <w:rPr>
          <w:color w:val="000000"/>
          <w:u w:val="single"/>
        </w:rPr>
        <w:t>          </w:t>
      </w:r>
      <w:r>
        <w:rPr>
          <w:rFonts w:ascii="Times New Roman;sans-serif" w:hAnsi="Times New Roman;sans-serif"/>
          <w:b/>
          <w:color w:val="000000"/>
          <w:sz w:val="20"/>
        </w:rPr>
        <w:t>to</w:t>
      </w:r>
      <w:r>
        <w:rPr>
          <w:color w:val="000000"/>
          <w:u w:val="single"/>
        </w:rPr>
        <w:t>          </w:t>
      </w:r>
    </w:p>
    <w:p>
      <w:pPr>
        <w:pStyle w:val="TextBody"/>
        <w:spacing w:lineRule="auto" w:line="288" w:before="300" w:after="283"/>
        <w:jc w:val="center"/>
        <w:rPr>
          <w:rFonts w:ascii="Times New Roman;sans-serif" w:hAnsi="Times New Roman;sans-serif"/>
          <w:b/>
          <w:color w:val="000000"/>
          <w:sz w:val="20"/>
        </w:rPr>
      </w:pPr>
      <w:r>
        <w:rPr>
          <w:rFonts w:ascii="Times New Roman;sans-serif" w:hAnsi="Times New Roman;sans-serif"/>
          <w:b/>
          <w:color w:val="000000"/>
          <w:sz w:val="20"/>
        </w:rPr>
        <w:t xml:space="preserve">Commission File No. 1-13179 </w:t>
      </w:r>
    </w:p>
    <w:p>
      <w:pPr>
        <w:pStyle w:val="TextBody"/>
        <w:spacing w:lineRule="auto" w:line="288" w:before="120" w:after="283"/>
        <w:jc w:val="center"/>
        <w:rPr>
          <w:rFonts w:ascii="Times New Roman;sans-serif" w:hAnsi="Times New Roman;sans-serif"/>
          <w:b/>
          <w:color w:val="000000"/>
          <w:sz w:val="36"/>
        </w:rPr>
      </w:pPr>
      <w:r>
        <w:rPr>
          <w:rFonts w:ascii="Times New Roman;sans-serif" w:hAnsi="Times New Roman;sans-serif"/>
          <w:b/>
          <w:color w:val="000000"/>
          <w:sz w:val="36"/>
        </w:rPr>
        <w:t>FLOWSERVE CORPORATION</w:t>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(Exact name of registrant as specified in its charter)</w:t>
      </w:r>
    </w:p>
    <w:p>
      <w:pPr>
        <w:pStyle w:val="TextBody"/>
        <w:spacing w:before="0" w:after="0"/>
        <w:jc w:val="center"/>
        <w:rPr/>
      </w:pPr>
      <w:r>
        <w:rPr/>
        <w:drawing>
          <wp:inline distT="0" distB="63500" distL="0" distR="0">
            <wp:extent cx="2095500" cy="581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95500" cy="581025"/>
                    </a:xfrm>
                    <a:prstGeom prst="rect">
                      <a:avLst/>
                    </a:prstGeom>
                  </pic:spPr>
                </pic:pic>
              </a:graphicData>
            </a:graphic>
          </wp:inline>
        </w:drawing>
      </w:r>
    </w:p>
    <w:tbl>
      <w:tblPr>
        <w:tblW w:w="9755" w:type="dxa"/>
        <w:jc w:val="center"/>
        <w:tblInd w:w="0" w:type="dxa"/>
        <w:tblCellMar>
          <w:top w:w="28" w:type="dxa"/>
          <w:left w:w="28" w:type="dxa"/>
          <w:bottom w:w="28" w:type="dxa"/>
          <w:right w:w="28" w:type="dxa"/>
        </w:tblCellMar>
      </w:tblPr>
      <w:tblGrid>
        <w:gridCol w:w="1118"/>
        <w:gridCol w:w="978"/>
        <w:gridCol w:w="978"/>
        <w:gridCol w:w="540"/>
        <w:gridCol w:w="540"/>
        <w:gridCol w:w="540"/>
        <w:gridCol w:w="540"/>
        <w:gridCol w:w="540"/>
        <w:gridCol w:w="564"/>
        <w:gridCol w:w="109"/>
        <w:gridCol w:w="109"/>
        <w:gridCol w:w="109"/>
        <w:gridCol w:w="902"/>
        <w:gridCol w:w="902"/>
        <w:gridCol w:w="1286"/>
      </w:tblGrid>
      <w:tr>
        <w:trPr/>
        <w:tc>
          <w:tcPr>
            <w:tcW w:w="1118" w:type="dxa"/>
            <w:tcBorders/>
            <w:shd w:fill="auto" w:val="clear"/>
            <w:vAlign w:val="center"/>
          </w:tcPr>
          <w:p>
            <w:pPr>
              <w:pStyle w:val="TableContents"/>
              <w:spacing w:before="0" w:after="283"/>
              <w:rPr>
                <w:sz w:val="4"/>
                <w:szCs w:val="4"/>
              </w:rPr>
            </w:pPr>
            <w:r>
              <w:rPr>
                <w:sz w:val="4"/>
                <w:szCs w:val="4"/>
              </w:rPr>
            </w:r>
          </w:p>
        </w:tc>
        <w:tc>
          <w:tcPr>
            <w:tcW w:w="978" w:type="dxa"/>
            <w:tcBorders/>
            <w:shd w:fill="auto" w:val="clear"/>
            <w:vAlign w:val="center"/>
          </w:tcPr>
          <w:p>
            <w:pPr>
              <w:pStyle w:val="TableContents"/>
              <w:spacing w:before="0" w:after="283"/>
              <w:rPr>
                <w:sz w:val="4"/>
                <w:szCs w:val="4"/>
              </w:rPr>
            </w:pPr>
            <w:r>
              <w:rPr>
                <w:sz w:val="4"/>
                <w:szCs w:val="4"/>
              </w:rPr>
            </w:r>
          </w:p>
        </w:tc>
        <w:tc>
          <w:tcPr>
            <w:tcW w:w="978"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56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1286" w:type="dxa"/>
            <w:tcBorders/>
            <w:shd w:fill="auto" w:val="clear"/>
            <w:vAlign w:val="center"/>
          </w:tcPr>
          <w:p>
            <w:pPr>
              <w:pStyle w:val="TableContents"/>
              <w:spacing w:before="0" w:after="283"/>
              <w:rPr>
                <w:sz w:val="4"/>
                <w:szCs w:val="4"/>
              </w:rPr>
            </w:pPr>
            <w:r>
              <w:rPr>
                <w:sz w:val="4"/>
                <w:szCs w:val="4"/>
              </w:rPr>
            </w:r>
          </w:p>
        </w:tc>
      </w:tr>
      <w:tr>
        <w:trPr/>
        <w:tc>
          <w:tcPr>
            <w:tcW w:w="6338" w:type="dxa"/>
            <w:gridSpan w:val="9"/>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New York</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09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31-0267900</w:t>
            </w:r>
          </w:p>
        </w:tc>
      </w:tr>
      <w:tr>
        <w:trPr/>
        <w:tc>
          <w:tcPr>
            <w:tcW w:w="6338" w:type="dxa"/>
            <w:gridSpan w:val="9"/>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(State or other jurisdiction of incorporation or organization)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9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Times New Roman;sans-serif" w:hAnsi="Times New Roman;sans-serif"/>
                <w:b w:val="false"/>
                <w:color w:val="000000"/>
                <w:sz w:val="20"/>
              </w:rPr>
              <w:t>(I.R.S. Employer Identification No.)</w:t>
            </w:r>
          </w:p>
        </w:tc>
      </w:tr>
      <w:tr>
        <w:trPr/>
        <w:tc>
          <w:tcPr>
            <w:tcW w:w="30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2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9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0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color w:val="000000"/>
                <w:sz w:val="20"/>
              </w:rPr>
            </w:pPr>
            <w:r>
              <w:rPr>
                <w:rFonts w:ascii="Times New Roman;sans-serif" w:hAnsi="Times New Roman;sans-serif"/>
                <w:b/>
                <w:color w:val="000000"/>
                <w:sz w:val="20"/>
              </w:rPr>
              <w:t>5215 N. O’Connor Blvd., Suite 700,</w:t>
            </w:r>
          </w:p>
        </w:tc>
        <w:tc>
          <w:tcPr>
            <w:tcW w:w="1620" w:type="dxa"/>
            <w:gridSpan w:val="3"/>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 xml:space="preserve">Irving, </w:t>
            </w:r>
          </w:p>
        </w:tc>
        <w:tc>
          <w:tcPr>
            <w:tcW w:w="1644" w:type="dxa"/>
            <w:gridSpan w:val="3"/>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Texas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9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75039</w:t>
            </w:r>
          </w:p>
        </w:tc>
      </w:tr>
      <w:tr>
        <w:trPr/>
        <w:tc>
          <w:tcPr>
            <w:tcW w:w="6338" w:type="dxa"/>
            <w:gridSpan w:val="9"/>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(Address of principal executive offices)</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09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center"/>
              <w:rPr>
                <w:color w:val="000000"/>
              </w:rPr>
            </w:pPr>
            <w:r>
              <w:rPr>
                <w:color w:val="000000"/>
              </w:rPr>
              <w:t> </w:t>
            </w:r>
          </w:p>
          <w:p>
            <w:pPr>
              <w:pStyle w:val="TableContents"/>
              <w:spacing w:lineRule="auto" w:line="240" w:before="0" w:after="0"/>
              <w:jc w:val="center"/>
              <w:rPr>
                <w:color w:val="000000"/>
              </w:rPr>
            </w:pPr>
            <w:r>
              <w:rPr>
                <w:color w:val="000000"/>
              </w:rPr>
              <w:t> </w:t>
            </w:r>
            <w:r>
              <w:rPr>
                <w:rFonts w:ascii="Times New Roman;sans-serif" w:hAnsi="Times New Roman;sans-serif"/>
                <w:b w:val="false"/>
                <w:color w:val="000000"/>
                <w:sz w:val="20"/>
              </w:rPr>
              <w:t>(Zip Code)</w:t>
            </w:r>
          </w:p>
        </w:tc>
      </w:tr>
    </w:tbl>
    <w:p>
      <w:pPr>
        <w:pStyle w:val="TextBody"/>
        <w:spacing w:before="0" w:after="0"/>
        <w:jc w:val="center"/>
        <w:rPr/>
      </w:pPr>
      <w:r>
        <w:rPr/>
      </w:r>
    </w:p>
    <w:tbl>
      <w:tblPr>
        <w:tblW w:w="9918" w:type="dxa"/>
        <w:jc w:val="center"/>
        <w:tblInd w:w="0" w:type="dxa"/>
        <w:tblCellMar>
          <w:top w:w="28" w:type="dxa"/>
          <w:left w:w="28" w:type="dxa"/>
          <w:bottom w:w="28" w:type="dxa"/>
          <w:right w:w="28" w:type="dxa"/>
        </w:tblCellMar>
      </w:tblPr>
      <w:tblGrid>
        <w:gridCol w:w="309"/>
        <w:gridCol w:w="270"/>
        <w:gridCol w:w="270"/>
        <w:gridCol w:w="270"/>
        <w:gridCol w:w="270"/>
        <w:gridCol w:w="270"/>
        <w:gridCol w:w="270"/>
        <w:gridCol w:w="270"/>
        <w:gridCol w:w="270"/>
        <w:gridCol w:w="233"/>
        <w:gridCol w:w="233"/>
        <w:gridCol w:w="233"/>
        <w:gridCol w:w="233"/>
        <w:gridCol w:w="233"/>
        <w:gridCol w:w="233"/>
        <w:gridCol w:w="233"/>
        <w:gridCol w:w="233"/>
        <w:gridCol w:w="233"/>
        <w:gridCol w:w="322"/>
        <w:gridCol w:w="322"/>
        <w:gridCol w:w="322"/>
        <w:gridCol w:w="322"/>
        <w:gridCol w:w="322"/>
        <w:gridCol w:w="322"/>
        <w:gridCol w:w="1002"/>
        <w:gridCol w:w="1002"/>
        <w:gridCol w:w="1416"/>
      </w:tblGrid>
      <w:tr>
        <w:trPr/>
        <w:tc>
          <w:tcPr>
            <w:tcW w:w="309"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center"/>
          </w:tcPr>
          <w:p>
            <w:pPr>
              <w:pStyle w:val="TableContents"/>
              <w:spacing w:before="0" w:after="283"/>
              <w:rPr>
                <w:sz w:val="4"/>
                <w:szCs w:val="4"/>
              </w:rPr>
            </w:pPr>
            <w:r>
              <w:rPr>
                <w:sz w:val="4"/>
                <w:szCs w:val="4"/>
              </w:rPr>
            </w:r>
          </w:p>
        </w:tc>
        <w:tc>
          <w:tcPr>
            <w:tcW w:w="1002" w:type="dxa"/>
            <w:tcBorders/>
            <w:shd w:fill="auto" w:val="clear"/>
            <w:vAlign w:val="center"/>
          </w:tcPr>
          <w:p>
            <w:pPr>
              <w:pStyle w:val="TableContents"/>
              <w:spacing w:before="0" w:after="283"/>
              <w:rPr>
                <w:sz w:val="4"/>
                <w:szCs w:val="4"/>
              </w:rPr>
            </w:pPr>
            <w:r>
              <w:rPr>
                <w:sz w:val="4"/>
                <w:szCs w:val="4"/>
              </w:rPr>
            </w:r>
          </w:p>
        </w:tc>
        <w:tc>
          <w:tcPr>
            <w:tcW w:w="1002" w:type="dxa"/>
            <w:tcBorders/>
            <w:shd w:fill="auto" w:val="clear"/>
            <w:vAlign w:val="center"/>
          </w:tcPr>
          <w:p>
            <w:pPr>
              <w:pStyle w:val="TableContents"/>
              <w:spacing w:before="0" w:after="283"/>
              <w:rPr>
                <w:sz w:val="4"/>
                <w:szCs w:val="4"/>
              </w:rPr>
            </w:pPr>
            <w:r>
              <w:rPr>
                <w:sz w:val="4"/>
                <w:szCs w:val="4"/>
              </w:rPr>
            </w:r>
          </w:p>
        </w:tc>
        <w:tc>
          <w:tcPr>
            <w:tcW w:w="1416" w:type="dxa"/>
            <w:tcBorders/>
            <w:shd w:fill="auto" w:val="clear"/>
            <w:vAlign w:val="center"/>
          </w:tcPr>
          <w:p>
            <w:pPr>
              <w:pStyle w:val="TableContents"/>
              <w:spacing w:before="0" w:after="283"/>
              <w:rPr>
                <w:sz w:val="4"/>
                <w:szCs w:val="4"/>
              </w:rPr>
            </w:pPr>
            <w:r>
              <w:rPr>
                <w:sz w:val="4"/>
                <w:szCs w:val="4"/>
              </w:rPr>
            </w:r>
          </w:p>
        </w:tc>
      </w:tr>
      <w:tr>
        <w:trPr/>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97" w:type="dxa"/>
            <w:gridSpan w:val="9"/>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color w:val="000000"/>
                <w:sz w:val="20"/>
              </w:rPr>
            </w:pPr>
            <w:r>
              <w:rPr>
                <w:rFonts w:ascii="Times New Roman;sans-serif" w:hAnsi="Times New Roman;sans-serif"/>
                <w:b/>
                <w:color w:val="000000"/>
                <w:sz w:val="20"/>
              </w:rPr>
              <w:t>(972)</w:t>
            </w:r>
          </w:p>
        </w:tc>
        <w:tc>
          <w:tcPr>
            <w:tcW w:w="1932"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443-6500</w:t>
            </w:r>
          </w:p>
        </w:tc>
        <w:tc>
          <w:tcPr>
            <w:tcW w:w="342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18" w:type="dxa"/>
            <w:gridSpan w:val="27"/>
            <w:tcBorders/>
            <w:shd w:fill="auto" w:val="clear"/>
            <w:tcMar>
              <w:top w:w="0" w:type="dxa"/>
              <w:left w:w="0" w:type="dxa"/>
              <w:bottom w:w="0" w:type="dxa"/>
              <w:right w:w="0" w:type="dxa"/>
            </w:tcMar>
            <w:vAlign w:val="center"/>
          </w:tcPr>
          <w:p>
            <w:pPr>
              <w:pStyle w:val="TableContents"/>
              <w:spacing w:lineRule="auto" w:line="240" w:before="2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(Registrant’s telephone number, including area code)</w:t>
            </w:r>
          </w:p>
        </w:tc>
      </w:tr>
      <w:tr>
        <w:trPr/>
        <w:tc>
          <w:tcPr>
            <w:tcW w:w="9918"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Former name, former address and former fiscal year, if changed since last report: N/A</w:t>
            </w:r>
          </w:p>
        </w:tc>
      </w:tr>
      <w:tr>
        <w:trPr/>
        <w:tc>
          <w:tcPr>
            <w:tcW w:w="9918" w:type="dxa"/>
            <w:gridSpan w:val="27"/>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18" w:type="dxa"/>
            <w:gridSpan w:val="27"/>
            <w:tcBorders/>
            <w:shd w:fill="auto" w:val="clear"/>
            <w:tcMar>
              <w:top w:w="0" w:type="dxa"/>
              <w:left w:w="0" w:type="dxa"/>
              <w:bottom w:w="0" w:type="dxa"/>
              <w:right w:w="0" w:type="dxa"/>
            </w:tcMar>
            <w:vAlign w:val="center"/>
          </w:tcPr>
          <w:p>
            <w:pPr>
              <w:pStyle w:val="TableContents"/>
              <w:spacing w:lineRule="auto" w:line="240" w:before="2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Securities registered pursuant to Section 12(b) of the Act:</w:t>
            </w:r>
          </w:p>
        </w:tc>
      </w:tr>
      <w:tr>
        <w:trPr/>
        <w:tc>
          <w:tcPr>
            <w:tcW w:w="2469" w:type="dxa"/>
            <w:gridSpan w:val="9"/>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20" w:after="283"/>
              <w:jc w:val="center"/>
              <w:rPr>
                <w:rFonts w:ascii="Times New Roman;sans-serif" w:hAnsi="Times New Roman;sans-serif"/>
                <w:b w:val="false"/>
                <w:color w:val="000000"/>
                <w:sz w:val="18"/>
              </w:rPr>
            </w:pPr>
            <w:r>
              <w:rPr>
                <w:rFonts w:ascii="Times New Roman;sans-serif" w:hAnsi="Times New Roman;sans-serif"/>
                <w:b w:val="false"/>
                <w:color w:val="000000"/>
                <w:sz w:val="18"/>
              </w:rPr>
              <w:t>Title of each class</w:t>
            </w:r>
          </w:p>
        </w:tc>
        <w:tc>
          <w:tcPr>
            <w:tcW w:w="4029" w:type="dxa"/>
            <w:gridSpan w:val="15"/>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20" w:after="283"/>
              <w:jc w:val="center"/>
              <w:rPr>
                <w:rFonts w:ascii="Times New Roman;sans-serif" w:hAnsi="Times New Roman;sans-serif"/>
                <w:b w:val="false"/>
                <w:color w:val="000000"/>
                <w:sz w:val="18"/>
              </w:rPr>
            </w:pPr>
            <w:r>
              <w:rPr>
                <w:rFonts w:ascii="Times New Roman;sans-serif" w:hAnsi="Times New Roman;sans-serif"/>
                <w:b w:val="false"/>
                <w:color w:val="000000"/>
                <w:sz w:val="18"/>
              </w:rPr>
              <w:t>Trading Symbol</w:t>
            </w:r>
          </w:p>
        </w:tc>
        <w:tc>
          <w:tcPr>
            <w:tcW w:w="3420"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Times New Roman;sans-serif" w:hAnsi="Times New Roman;sans-serif"/>
                <w:b w:val="false"/>
                <w:color w:val="000000"/>
                <w:sz w:val="18"/>
              </w:rPr>
            </w:pPr>
            <w:r>
              <w:rPr>
                <w:rFonts w:ascii="Times New Roman;sans-serif" w:hAnsi="Times New Roman;sans-serif"/>
                <w:b w:val="false"/>
                <w:color w:val="000000"/>
                <w:sz w:val="18"/>
              </w:rPr>
              <w:t>Name of Each Exchange on Which Registered</w:t>
            </w:r>
          </w:p>
        </w:tc>
      </w:tr>
      <w:tr>
        <w:trPr/>
        <w:tc>
          <w:tcPr>
            <w:tcW w:w="2469" w:type="dxa"/>
            <w:gridSpan w:val="9"/>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0" w:after="283"/>
              <w:jc w:val="center"/>
              <w:rPr>
                <w:rFonts w:ascii="Times New Roman;sans-serif" w:hAnsi="Times New Roman;sans-serif"/>
                <w:b w:val="false"/>
                <w:color w:val="000000"/>
                <w:sz w:val="18"/>
              </w:rPr>
            </w:pPr>
            <w:r>
              <w:rPr>
                <w:rFonts w:ascii="Times New Roman;sans-serif" w:hAnsi="Times New Roman;sans-serif"/>
                <w:b w:val="false"/>
                <w:color w:val="000000"/>
                <w:sz w:val="18"/>
              </w:rPr>
              <w:t>Common Stock, $1.25 Par Value</w:t>
            </w:r>
          </w:p>
        </w:tc>
        <w:tc>
          <w:tcPr>
            <w:tcW w:w="4029" w:type="dxa"/>
            <w:gridSpan w:val="15"/>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0" w:after="283"/>
              <w:jc w:val="center"/>
              <w:rPr>
                <w:rFonts w:ascii="Times New Roman;sans-serif" w:hAnsi="Times New Roman;sans-serif"/>
                <w:b w:val="false"/>
                <w:color w:val="000000"/>
                <w:sz w:val="18"/>
              </w:rPr>
            </w:pPr>
            <w:r>
              <w:rPr>
                <w:rFonts w:ascii="Times New Roman;sans-serif" w:hAnsi="Times New Roman;sans-serif"/>
                <w:b w:val="false"/>
                <w:color w:val="000000"/>
                <w:sz w:val="18"/>
              </w:rPr>
              <w:t>FLS</w:t>
            </w:r>
          </w:p>
        </w:tc>
        <w:tc>
          <w:tcPr>
            <w:tcW w:w="3420"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40" w:before="0" w:after="283"/>
              <w:jc w:val="center"/>
              <w:rPr>
                <w:rFonts w:ascii="Times New Roman;sans-serif" w:hAnsi="Times New Roman;sans-serif"/>
                <w:b w:val="false"/>
                <w:color w:val="000000"/>
                <w:sz w:val="18"/>
              </w:rPr>
            </w:pPr>
            <w:r>
              <w:rPr>
                <w:rFonts w:ascii="Times New Roman;sans-serif" w:hAnsi="Times New Roman;sans-serif"/>
                <w:b w:val="false"/>
                <w:color w:val="000000"/>
                <w:sz w:val="18"/>
              </w:rPr>
              <w:t>New York Stock Exchange</w:t>
            </w:r>
          </w:p>
        </w:tc>
      </w:tr>
      <w:tr>
        <w:trPr/>
        <w:tc>
          <w:tcPr>
            <w:tcW w:w="849" w:type="dxa"/>
            <w:gridSpan w:val="3"/>
            <w:tcBorders/>
            <w:shd w:fill="auto" w:val="clear"/>
            <w:vAlign w:val="center"/>
          </w:tcPr>
          <w:p>
            <w:pPr>
              <w:pStyle w:val="TableContents"/>
              <w:spacing w:before="0" w:after="283"/>
              <w:rPr>
                <w:sz w:val="4"/>
                <w:szCs w:val="4"/>
              </w:rPr>
            </w:pPr>
            <w:r>
              <w:rPr>
                <w:sz w:val="4"/>
                <w:szCs w:val="4"/>
              </w:rPr>
            </w:r>
          </w:p>
        </w:tc>
        <w:tc>
          <w:tcPr>
            <w:tcW w:w="810" w:type="dxa"/>
            <w:gridSpan w:val="3"/>
            <w:tcBorders/>
            <w:shd w:fill="auto" w:val="clear"/>
            <w:vAlign w:val="center"/>
          </w:tcPr>
          <w:p>
            <w:pPr>
              <w:pStyle w:val="TableContents"/>
              <w:spacing w:before="0" w:after="283"/>
              <w:rPr>
                <w:sz w:val="4"/>
                <w:szCs w:val="4"/>
              </w:rPr>
            </w:pPr>
            <w:r>
              <w:rPr>
                <w:sz w:val="4"/>
                <w:szCs w:val="4"/>
              </w:rPr>
            </w:r>
          </w:p>
        </w:tc>
        <w:tc>
          <w:tcPr>
            <w:tcW w:w="810" w:type="dxa"/>
            <w:gridSpan w:val="3"/>
            <w:tcBorders/>
            <w:shd w:fill="auto" w:val="clear"/>
            <w:vAlign w:val="center"/>
          </w:tcPr>
          <w:p>
            <w:pPr>
              <w:pStyle w:val="TableContents"/>
              <w:spacing w:before="0" w:after="283"/>
              <w:rPr>
                <w:sz w:val="4"/>
                <w:szCs w:val="4"/>
              </w:rPr>
            </w:pPr>
            <w:r>
              <w:rPr>
                <w:sz w:val="4"/>
                <w:szCs w:val="4"/>
              </w:rPr>
            </w:r>
          </w:p>
        </w:tc>
        <w:tc>
          <w:tcPr>
            <w:tcW w:w="7449" w:type="dxa"/>
            <w:gridSpan w:val="18"/>
            <w:tcBorders/>
            <w:shd w:fill="auto" w:val="clea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color w:val="000000"/>
        </w:rPr>
        <w:t xml:space="preserve">☑ </w:t>
      </w:r>
      <w:r>
        <w:rPr>
          <w:rFonts w:ascii="Times New Roman;sans-serif" w:hAnsi="Times New Roman;sans-serif"/>
          <w:b w:val="false"/>
          <w:color w:val="000000"/>
          <w:sz w:val="20"/>
        </w:rPr>
        <w:t xml:space="preserve">Yes </w:t>
      </w:r>
      <w:r>
        <w:rPr>
          <w:color w:val="000000"/>
        </w:rPr>
        <w:t xml:space="preserve">☐ </w:t>
      </w:r>
      <w:r>
        <w:rPr>
          <w:rFonts w:ascii="Times New Roman;sans-serif" w:hAnsi="Times New Roman;sans-serif"/>
          <w:b w:val="false"/>
          <w:color w:val="000000"/>
          <w:sz w:val="20"/>
        </w:rPr>
        <w:t>No</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color w:val="000000"/>
        </w:rPr>
        <w:t xml:space="preserve">☑ </w:t>
      </w:r>
      <w:r>
        <w:rPr>
          <w:rFonts w:ascii="Times New Roman;sans-serif" w:hAnsi="Times New Roman;sans-serif"/>
          <w:b w:val="false"/>
          <w:color w:val="000000"/>
          <w:sz w:val="20"/>
        </w:rPr>
        <w:t xml:space="preserve">Yes </w:t>
      </w:r>
      <w:r>
        <w:rPr>
          <w:color w:val="000000"/>
        </w:rPr>
        <w:t xml:space="preserve">☐ </w:t>
      </w:r>
      <w:r>
        <w:rPr>
          <w:rFonts w:ascii="Times New Roman;sans-serif" w:hAnsi="Times New Roman;sans-serif"/>
          <w:b w:val="false"/>
          <w:color w:val="000000"/>
          <w:sz w:val="20"/>
        </w:rPr>
        <w:t>No</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7505" w:type="dxa"/>
        <w:jc w:val="left"/>
        <w:tblInd w:w="0" w:type="dxa"/>
        <w:tblCellMar>
          <w:top w:w="28" w:type="dxa"/>
          <w:left w:w="28" w:type="dxa"/>
          <w:bottom w:w="28" w:type="dxa"/>
          <w:right w:w="28" w:type="dxa"/>
        </w:tblCellMar>
      </w:tblPr>
      <w:tblGrid>
        <w:gridCol w:w="842"/>
        <w:gridCol w:w="740"/>
        <w:gridCol w:w="743"/>
        <w:gridCol w:w="109"/>
        <w:gridCol w:w="109"/>
        <w:gridCol w:w="109"/>
        <w:gridCol w:w="784"/>
        <w:gridCol w:w="784"/>
        <w:gridCol w:w="787"/>
        <w:gridCol w:w="109"/>
        <w:gridCol w:w="109"/>
        <w:gridCol w:w="109"/>
        <w:gridCol w:w="599"/>
        <w:gridCol w:w="599"/>
        <w:gridCol w:w="601"/>
        <w:gridCol w:w="109"/>
        <w:gridCol w:w="109"/>
        <w:gridCol w:w="154"/>
      </w:tblGrid>
      <w:tr>
        <w:trPr/>
        <w:tc>
          <w:tcPr>
            <w:tcW w:w="842" w:type="dxa"/>
            <w:tcBorders/>
            <w:shd w:fill="auto" w:val="clear"/>
            <w:vAlign w:val="center"/>
          </w:tcPr>
          <w:p>
            <w:pPr>
              <w:pStyle w:val="TableContents"/>
              <w:spacing w:before="0" w:after="283"/>
              <w:rPr>
                <w:sz w:val="4"/>
                <w:szCs w:val="4"/>
              </w:rPr>
            </w:pPr>
            <w:r>
              <w:rPr>
                <w:sz w:val="4"/>
                <w:szCs w:val="4"/>
              </w:rPr>
            </w:r>
          </w:p>
        </w:tc>
        <w:tc>
          <w:tcPr>
            <w:tcW w:w="740" w:type="dxa"/>
            <w:tcBorders/>
            <w:shd w:fill="auto" w:val="clear"/>
            <w:vAlign w:val="center"/>
          </w:tcPr>
          <w:p>
            <w:pPr>
              <w:pStyle w:val="TableContents"/>
              <w:spacing w:before="0" w:after="283"/>
              <w:rPr>
                <w:sz w:val="4"/>
                <w:szCs w:val="4"/>
              </w:rPr>
            </w:pPr>
            <w:r>
              <w:rPr>
                <w:sz w:val="4"/>
                <w:szCs w:val="4"/>
              </w:rPr>
            </w:r>
          </w:p>
        </w:tc>
        <w:tc>
          <w:tcPr>
            <w:tcW w:w="74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84" w:type="dxa"/>
            <w:tcBorders/>
            <w:shd w:fill="auto" w:val="clear"/>
            <w:vAlign w:val="center"/>
          </w:tcPr>
          <w:p>
            <w:pPr>
              <w:pStyle w:val="TableContents"/>
              <w:spacing w:before="0" w:after="283"/>
              <w:rPr>
                <w:sz w:val="4"/>
                <w:szCs w:val="4"/>
              </w:rPr>
            </w:pPr>
            <w:r>
              <w:rPr>
                <w:sz w:val="4"/>
                <w:szCs w:val="4"/>
              </w:rPr>
            </w:r>
          </w:p>
        </w:tc>
        <w:tc>
          <w:tcPr>
            <w:tcW w:w="784" w:type="dxa"/>
            <w:tcBorders/>
            <w:shd w:fill="auto" w:val="clear"/>
            <w:vAlign w:val="center"/>
          </w:tcPr>
          <w:p>
            <w:pPr>
              <w:pStyle w:val="TableContents"/>
              <w:spacing w:before="0" w:after="283"/>
              <w:rPr>
                <w:sz w:val="4"/>
                <w:szCs w:val="4"/>
              </w:rPr>
            </w:pPr>
            <w:r>
              <w:rPr>
                <w:sz w:val="4"/>
                <w:szCs w:val="4"/>
              </w:rPr>
            </w:r>
          </w:p>
        </w:tc>
        <w:tc>
          <w:tcPr>
            <w:tcW w:w="78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3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Large accelerated filer</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235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Accelerated filer</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7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Non-accelerated filer</w:t>
            </w:r>
          </w:p>
        </w:tc>
        <w:tc>
          <w:tcPr>
            <w:tcW w:w="3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r>
        <w:trPr/>
        <w:tc>
          <w:tcPr>
            <w:tcW w:w="23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Smaller reporting company</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235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 xml:space="preserve">Emerging growth company </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7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2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4853" w:type="dxa"/>
            <w:gridSpan w:val="12"/>
            <w:tcBorders/>
            <w:shd w:fill="auto" w:val="clea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color w:val="000000"/>
        </w:rPr>
        <w:t xml:space="preserve">☐ </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Indicate by check mark whether the registrant is a shell company (as defined in Rule 12b-2 of the Exchange Act). Yes </w:t>
      </w:r>
      <w:r>
        <w:rPr>
          <w:color w:val="000000"/>
        </w:rPr>
        <w:t xml:space="preserve">☐ </w:t>
      </w:r>
      <w:r>
        <w:rPr>
          <w:rFonts w:ascii="Times New Roman;sans-serif" w:hAnsi="Times New Roman;sans-serif"/>
          <w:b w:val="false"/>
          <w:color w:val="000000"/>
          <w:sz w:val="20"/>
        </w:rPr>
        <w:t xml:space="preserve">No </w:t>
      </w:r>
      <w:r>
        <w:rPr>
          <w:color w:val="000000"/>
        </w:rPr>
        <w:t xml:space="preserve">☑ </w:t>
      </w:r>
    </w:p>
    <w:p>
      <w:pPr>
        <w:pStyle w:val="TextBody"/>
        <w:spacing w:lineRule="auto" w:line="288" w:before="120" w:after="283"/>
        <w:ind w:left="0" w:right="0" w:firstLine="360"/>
        <w:jc w:val="both"/>
        <w:rPr/>
      </w:pPr>
      <w:r>
        <w:rPr>
          <w:rFonts w:ascii="Times New Roman;sans-serif" w:hAnsi="Times New Roman;sans-serif"/>
          <w:b w:val="false"/>
          <w:color w:val="000000"/>
          <w:sz w:val="20"/>
        </w:rPr>
        <w:t>A</w:t>
      </w:r>
      <w:r>
        <w:rPr>
          <w:rFonts w:ascii="Times New Roman;sans-serif" w:hAnsi="Times New Roman;sans-serif"/>
          <w:b w:val="false"/>
          <w:color w:val="000000"/>
          <w:sz w:val="20"/>
          <w:highlight w:val="white"/>
        </w:rPr>
        <w:t xml:space="preserve">s of </w:t>
      </w:r>
      <w:r>
        <w:rPr>
          <w:rFonts w:ascii="Times New Roman;sans-serif" w:hAnsi="Times New Roman;sans-serif"/>
          <w:b w:val="false"/>
          <w:color w:val="000000"/>
          <w:sz w:val="20"/>
        </w:rPr>
        <w:t xml:space="preserve">April 25, 2023 </w:t>
      </w:r>
      <w:r>
        <w:rPr>
          <w:rFonts w:ascii="Times New Roman;sans-serif" w:hAnsi="Times New Roman;sans-serif"/>
          <w:b w:val="false"/>
          <w:color w:val="000000"/>
          <w:sz w:val="20"/>
          <w:highlight w:val="white"/>
        </w:rPr>
        <w:t>there wer</w:t>
      </w:r>
      <w:r>
        <w:rPr>
          <w:rFonts w:ascii="Times New Roman;sans-serif" w:hAnsi="Times New Roman;sans-serif"/>
          <w:b w:val="false"/>
          <w:color w:val="000000"/>
          <w:sz w:val="20"/>
        </w:rPr>
        <w:t>e 131,149,159</w:t>
      </w:r>
      <w:r>
        <w:rPr>
          <w:color w:val="000000"/>
        </w:rPr>
        <w:t xml:space="preserve"> </w:t>
      </w:r>
      <w:r>
        <w:rPr>
          <w:rFonts w:ascii="Times New Roman;sans-serif" w:hAnsi="Times New Roman;sans-serif"/>
          <w:b w:val="false"/>
          <w:color w:val="000000"/>
          <w:sz w:val="20"/>
          <w:highlight w:val="white"/>
        </w:rPr>
        <w:t xml:space="preserve">shares </w:t>
      </w:r>
      <w:r>
        <w:rPr>
          <w:rFonts w:ascii="Times New Roman;sans-serif" w:hAnsi="Times New Roman;sans-serif"/>
          <w:b w:val="false"/>
          <w:color w:val="000000"/>
          <w:sz w:val="20"/>
        </w:rPr>
        <w:t>of the issuer’s common stock outstanding.</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6480175" cy="890270"/>
                <wp:effectExtent l="0" t="0" r="0" b="0"/>
                <wp:wrapNone/>
                <wp:docPr id="2" name="Frame1"/>
                <a:graphic xmlns:a="http://schemas.openxmlformats.org/drawingml/2006/main">
                  <a:graphicData uri="http://schemas.microsoft.com/office/word/2010/wordprocessingShape">
                    <wps:wsp>
                      <wps:cNvSpPr txBox="1"/>
                      <wps:spPr>
                        <a:xfrm>
                          <a:off x="0" y="0"/>
                          <a:ext cx="6480175" cy="890270"/>
                        </a:xfrm>
                        <a:prstGeom prst="rect"/>
                      </wps:spPr>
                      <wps:txbx>
                        <w:txbxContent>
                          <w:p>
                            <w:pPr>
                              <w:pStyle w:val="TextBody"/>
                              <w:spacing w:before="0" w:after="0"/>
                              <w:jc w:val="right"/>
                              <w:rPr/>
                            </w:pPr>
                            <w:r>
                              <w:rPr/>
                            </w:r>
                          </w:p>
                          <w:tbl>
                            <w:tblPr>
                              <w:tblW w:w="1041" w:type="dxa"/>
                              <w:jc w:val="center"/>
                              <w:tblInd w:w="0" w:type="dxa"/>
                              <w:tblCellMar>
                                <w:top w:w="28" w:type="dxa"/>
                                <w:left w:w="28" w:type="dxa"/>
                                <w:bottom w:w="28" w:type="dxa"/>
                                <w:right w:w="28" w:type="dxa"/>
                              </w:tblCellMar>
                            </w:tblPr>
                            <w:tblGrid>
                              <w:gridCol w:w="124"/>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372"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hanging="180"/>
                              <w:jc w:val="right"/>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70.1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jc w:val="right"/>
                        <w:rPr/>
                      </w:pPr>
                      <w:r>
                        <w:rPr/>
                      </w:r>
                    </w:p>
                    <w:tbl>
                      <w:tblPr>
                        <w:tblW w:w="1041" w:type="dxa"/>
                        <w:jc w:val="center"/>
                        <w:tblInd w:w="0" w:type="dxa"/>
                        <w:tblCellMar>
                          <w:top w:w="28" w:type="dxa"/>
                          <w:left w:w="28" w:type="dxa"/>
                          <w:bottom w:w="28" w:type="dxa"/>
                          <w:right w:w="28" w:type="dxa"/>
                        </w:tblCellMar>
                      </w:tblPr>
                      <w:tblGrid>
                        <w:gridCol w:w="124"/>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372" w:type="dxa"/>
                            <w:gridSpan w:val="3"/>
                            <w:tcBorders>
                              <w:top w:val="single" w:sz="8" w:space="0" w:color="000000"/>
                              <w:bottom w:val="doub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hanging="180"/>
                        <w:jc w:val="right"/>
                        <w:rPr/>
                      </w:pPr>
                      <w:r>
                        <w:rPr/>
                      </w:r>
                    </w:p>
                  </w:txbxContent>
                </v:textbox>
              </v:rect>
            </w:pict>
          </mc:Fallback>
        </mc:AlternateContent>
      </w:r>
    </w:p>
    <w:p>
      <w:pPr>
        <w:pStyle w:val="TextBody"/>
        <w:spacing w:before="0" w:after="0"/>
        <w:rPr/>
      </w:pPr>
      <w:r>
        <w:rPr/>
      </w:r>
    </w:p>
    <w:p>
      <w:pPr>
        <w:pStyle w:val="TextBody"/>
        <w:spacing w:before="360" w:after="283"/>
        <w:jc w:val="center"/>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FLOWSERVE CORPORATION</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FORM 10-Q</w:t>
      </w:r>
    </w:p>
    <w:p>
      <w:pPr>
        <w:pStyle w:val="TextBody"/>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TABLE OF CONTENTS</w:t>
      </w:r>
    </w:p>
    <w:tbl>
      <w:tblPr>
        <w:tblW w:w="10205" w:type="dxa"/>
        <w:jc w:val="center"/>
        <w:tblInd w:w="0" w:type="dxa"/>
        <w:tblCellMar>
          <w:top w:w="28" w:type="dxa"/>
          <w:left w:w="28" w:type="dxa"/>
          <w:bottom w:w="28" w:type="dxa"/>
          <w:right w:w="28" w:type="dxa"/>
        </w:tblCellMar>
      </w:tblPr>
      <w:tblGrid>
        <w:gridCol w:w="3511"/>
        <w:gridCol w:w="3085"/>
        <w:gridCol w:w="3096"/>
        <w:gridCol w:w="149"/>
        <w:gridCol w:w="149"/>
        <w:gridCol w:w="215"/>
      </w:tblGrid>
      <w:tr>
        <w:trPr/>
        <w:tc>
          <w:tcPr>
            <w:tcW w:w="3511" w:type="dxa"/>
            <w:tcBorders/>
            <w:shd w:fill="auto" w:val="clear"/>
            <w:vAlign w:val="center"/>
          </w:tcPr>
          <w:p>
            <w:pPr>
              <w:pStyle w:val="TableContents"/>
              <w:spacing w:before="0" w:after="283"/>
              <w:rPr>
                <w:sz w:val="4"/>
                <w:szCs w:val="4"/>
              </w:rPr>
            </w:pPr>
            <w:r>
              <w:rPr>
                <w:sz w:val="4"/>
                <w:szCs w:val="4"/>
              </w:rPr>
            </w:r>
          </w:p>
        </w:tc>
        <w:tc>
          <w:tcPr>
            <w:tcW w:w="3085" w:type="dxa"/>
            <w:tcBorders/>
            <w:shd w:fill="auto" w:val="clear"/>
            <w:vAlign w:val="center"/>
          </w:tcPr>
          <w:p>
            <w:pPr>
              <w:pStyle w:val="TableContents"/>
              <w:spacing w:before="0" w:after="283"/>
              <w:rPr>
                <w:sz w:val="4"/>
                <w:szCs w:val="4"/>
              </w:rPr>
            </w:pPr>
            <w:r>
              <w:rPr>
                <w:sz w:val="4"/>
                <w:szCs w:val="4"/>
              </w:rPr>
            </w:r>
          </w:p>
        </w:tc>
        <w:tc>
          <w:tcPr>
            <w:tcW w:w="3096"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Page</w:t>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No.</w:t>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0">
              <w:r>
                <w:rPr>
                  <w:rStyle w:val="InternetLink"/>
                  <w:rFonts w:ascii="Times New Roman;sans-serif" w:hAnsi="Times New Roman;sans-serif"/>
                  <w:b/>
                  <w:color w:val="0000FF"/>
                  <w:sz w:val="20"/>
                  <w:u w:val="single"/>
                </w:rPr>
                <w:t>PART I – FINANCIAL INFORMATION</w:t>
              </w:r>
            </w:hyperlink>
          </w:p>
        </w:tc>
        <w:tc>
          <w:tcPr>
            <w:tcW w:w="51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3">
              <w:r>
                <w:rPr>
                  <w:rStyle w:val="InternetLink"/>
                  <w:rFonts w:ascii="Times New Roman;sans-serif" w:hAnsi="Times New Roman;sans-serif"/>
                  <w:b/>
                  <w:color w:val="0000FF"/>
                  <w:sz w:val="20"/>
                  <w:u w:val="single"/>
                </w:rPr>
                <w:t>Item 1.       Financial Statements</w:t>
              </w:r>
            </w:hyperlink>
          </w:p>
        </w:tc>
        <w:tc>
          <w:tcPr>
            <w:tcW w:w="51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6">
              <w:r>
                <w:rPr>
                  <w:rStyle w:val="InternetLink"/>
                </w:rPr>
                <w:t xml:space="preserve">Condensed Consolidated Statements of Income and Condensed Consolidated Statements of Comprehensive Income (Loss) – Three Months Ended </w:t>
              </w:r>
            </w:hyperlink>
            <w:hyperlink w:anchor="i9a9401068034456ca0c46ddd2ff6760b_16">
              <w:r>
                <w:rPr>
                  <w:rStyle w:val="InternetLink"/>
                </w:rPr>
                <w:t>Mar</w:t>
              </w:r>
            </w:hyperlink>
            <w:hyperlink w:anchor="i9a9401068034456ca0c46ddd2ff6760b_16">
              <w:r>
                <w:rPr>
                  <w:rStyle w:val="InternetLink"/>
                </w:rPr>
                <w:t>c</w:t>
              </w:r>
            </w:hyperlink>
            <w:hyperlink w:anchor="i9a9401068034456ca0c46ddd2ff6760b_16">
              <w:r>
                <w:rPr>
                  <w:rStyle w:val="InternetLink"/>
                </w:rPr>
                <w:t>h</w:t>
              </w:r>
            </w:hyperlink>
            <w:hyperlink w:anchor="i9a9401068034456ca0c46ddd2ff6760b_16">
              <w:r>
                <w:rPr>
                  <w:rStyle w:val="InternetLink"/>
                </w:rPr>
                <w:t xml:space="preserve"> 3</w:t>
              </w:r>
            </w:hyperlink>
            <w:hyperlink w:anchor="i9a9401068034456ca0c46ddd2ff6760b_16">
              <w:r>
                <w:rPr>
                  <w:rStyle w:val="InternetLink"/>
                </w:rPr>
                <w:t>1</w:t>
              </w:r>
            </w:hyperlink>
            <w:hyperlink w:anchor="i9a9401068034456ca0c46ddd2ff6760b_16">
              <w:r>
                <w:rPr>
                  <w:rStyle w:val="InternetLink"/>
                </w:rPr>
                <w:t>, 202</w:t>
              </w:r>
            </w:hyperlink>
            <w:hyperlink w:anchor="i9a9401068034456ca0c46ddd2ff6760b_16">
              <w:r>
                <w:rPr>
                  <w:rStyle w:val="InternetLink"/>
                </w:rPr>
                <w:t>3</w:t>
              </w:r>
            </w:hyperlink>
            <w:hyperlink w:anchor="i9a9401068034456ca0c46ddd2ff6760b_16">
              <w:r>
                <w:rPr>
                  <w:rStyle w:val="InternetLink"/>
                </w:rPr>
                <w:t xml:space="preserve"> and 202</w:t>
              </w:r>
            </w:hyperlink>
            <w:hyperlink w:anchor="i9a9401068034456ca0c46ddd2ff6760b_16">
              <w:r>
                <w:rPr>
                  <w:rStyle w:val="InternetLink"/>
                </w:rPr>
                <w:t>2</w:t>
              </w:r>
            </w:hyperlink>
            <w:hyperlink w:anchor="i9a9401068034456ca0c46ddd2ff6760b_16">
              <w:r>
                <w:rPr>
                  <w:rStyle w:val="InternetLink"/>
                </w:rPr>
                <w:t xml:space="preserve"> (unaudited) </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6">
              <w:r>
                <w:rPr>
                  <w:rStyle w:val="InternetLink"/>
                  <w:rFonts w:ascii="Times New Roman;sans-serif" w:hAnsi="Times New Roman;sans-serif"/>
                  <w:b w:val="false"/>
                  <w:color w:val="0000FF"/>
                  <w:sz w:val="20"/>
                  <w:u w:val="single"/>
                </w:rPr>
                <w:t>1</w:t>
              </w:r>
            </w:hyperlink>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28">
              <w:r>
                <w:rPr>
                  <w:rStyle w:val="InternetLink"/>
                </w:rPr>
                <w:t xml:space="preserve">Condensed Consolidated Balance Sheets – </w:t>
              </w:r>
            </w:hyperlink>
            <w:hyperlink w:anchor="i9a9401068034456ca0c46ddd2ff6760b_28">
              <w:r>
                <w:rPr>
                  <w:rStyle w:val="InternetLink"/>
                </w:rPr>
                <w:t>March</w:t>
              </w:r>
            </w:hyperlink>
            <w:hyperlink w:anchor="i9a9401068034456ca0c46ddd2ff6760b_28">
              <w:r>
                <w:rPr>
                  <w:rStyle w:val="InternetLink"/>
                </w:rPr>
                <w:t xml:space="preserve"> 3</w:t>
              </w:r>
            </w:hyperlink>
            <w:hyperlink w:anchor="i9a9401068034456ca0c46ddd2ff6760b_28">
              <w:r>
                <w:rPr>
                  <w:rStyle w:val="InternetLink"/>
                </w:rPr>
                <w:t>1</w:t>
              </w:r>
            </w:hyperlink>
            <w:hyperlink w:anchor="i9a9401068034456ca0c46ddd2ff6760b_28">
              <w:r>
                <w:rPr>
                  <w:rStyle w:val="InternetLink"/>
                </w:rPr>
                <w:t>,</w:t>
              </w:r>
            </w:hyperlink>
            <w:hyperlink w:anchor="i9a9401068034456ca0c46ddd2ff6760b_28">
              <w:r>
                <w:rPr>
                  <w:rStyle w:val="InternetLink"/>
                </w:rPr>
                <w:t xml:space="preserve"> 202</w:t>
              </w:r>
            </w:hyperlink>
            <w:hyperlink w:anchor="i9a9401068034456ca0c46ddd2ff6760b_28">
              <w:r>
                <w:rPr>
                  <w:rStyle w:val="InternetLink"/>
                </w:rPr>
                <w:t>3</w:t>
              </w:r>
            </w:hyperlink>
            <w:hyperlink w:anchor="i9a9401068034456ca0c46ddd2ff6760b_28">
              <w:r>
                <w:rPr>
                  <w:rStyle w:val="InternetLink"/>
                </w:rPr>
                <w:t xml:space="preserve"> and December 31, 202</w:t>
              </w:r>
            </w:hyperlink>
            <w:hyperlink w:anchor="i9a9401068034456ca0c46ddd2ff6760b_28">
              <w:r>
                <w:rPr>
                  <w:rStyle w:val="InternetLink"/>
                </w:rPr>
                <w:t>2</w:t>
              </w:r>
            </w:hyperlink>
            <w:hyperlink w:anchor="i9a9401068034456ca0c46ddd2ff6760b_28">
              <w:r>
                <w:rPr>
                  <w:rStyle w:val="InternetLink"/>
                </w:rPr>
                <w:t xml:space="preserve"> (unaudited) </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28">
              <w:r>
                <w:rPr>
                  <w:rStyle w:val="InternetLink"/>
                  <w:rFonts w:ascii="Times New Roman;sans-serif" w:hAnsi="Times New Roman;sans-serif"/>
                  <w:b w:val="false"/>
                  <w:color w:val="0000FF"/>
                  <w:sz w:val="20"/>
                  <w:u w:val="single"/>
                </w:rPr>
                <w:t>2</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34">
              <w:r>
                <w:rPr>
                  <w:rStyle w:val="InternetLink"/>
                </w:rPr>
                <w:t xml:space="preserve">Condensed Consolidated Statements of Shareholders' Equity – Three Months Ended </w:t>
              </w:r>
            </w:hyperlink>
            <w:hyperlink w:anchor="i9a9401068034456ca0c46ddd2ff6760b_34">
              <w:r>
                <w:rPr>
                  <w:rStyle w:val="InternetLink"/>
                </w:rPr>
                <w:t>March</w:t>
              </w:r>
            </w:hyperlink>
            <w:hyperlink w:anchor="i9a9401068034456ca0c46ddd2ff6760b_34">
              <w:r>
                <w:rPr>
                  <w:rStyle w:val="InternetLink"/>
                </w:rPr>
                <w:t xml:space="preserve"> 3</w:t>
              </w:r>
            </w:hyperlink>
            <w:hyperlink w:anchor="i9a9401068034456ca0c46ddd2ff6760b_34">
              <w:r>
                <w:rPr>
                  <w:rStyle w:val="InternetLink"/>
                </w:rPr>
                <w:t>1</w:t>
              </w:r>
            </w:hyperlink>
            <w:hyperlink w:anchor="i9a9401068034456ca0c46ddd2ff6760b_34">
              <w:r>
                <w:rPr>
                  <w:rStyle w:val="InternetLink"/>
                </w:rPr>
                <w:t>, 202</w:t>
              </w:r>
            </w:hyperlink>
            <w:hyperlink w:anchor="i9a9401068034456ca0c46ddd2ff6760b_34">
              <w:r>
                <w:rPr>
                  <w:rStyle w:val="InternetLink"/>
                </w:rPr>
                <w:t>3</w:t>
              </w:r>
            </w:hyperlink>
            <w:hyperlink w:anchor="i9a9401068034456ca0c46ddd2ff6760b_34">
              <w:r>
                <w:rPr>
                  <w:rStyle w:val="InternetLink"/>
                </w:rPr>
                <w:t xml:space="preserve"> and 202</w:t>
              </w:r>
            </w:hyperlink>
            <w:hyperlink w:anchor="i9a9401068034456ca0c46ddd2ff6760b_34">
              <w:r>
                <w:rPr>
                  <w:rStyle w:val="InternetLink"/>
                </w:rPr>
                <w:t>2</w:t>
              </w:r>
            </w:hyperlink>
            <w:hyperlink w:anchor="i9a9401068034456ca0c46ddd2ff6760b_34">
              <w:r>
                <w:rPr>
                  <w:rStyle w:val="InternetLink"/>
                </w:rPr>
                <w:t xml:space="preserve"> (unaudited)</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34">
              <w:r>
                <w:rPr>
                  <w:rStyle w:val="InternetLink"/>
                  <w:rFonts w:ascii="Times New Roman;sans-serif" w:hAnsi="Times New Roman;sans-serif"/>
                  <w:b w:val="false"/>
                  <w:color w:val="0000FF"/>
                  <w:sz w:val="20"/>
                  <w:u w:val="single"/>
                </w:rPr>
                <w:t>3</w:t>
              </w:r>
            </w:hyperlink>
          </w:p>
          <w:p>
            <w:pPr>
              <w:pStyle w:val="TableContents"/>
              <w:spacing w:before="0" w:after="0"/>
              <w:jc w:val="center"/>
              <w:rPr/>
            </w:pPr>
            <w:r>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40">
              <w:r>
                <w:rPr>
                  <w:rStyle w:val="InternetLink"/>
                </w:rPr>
                <w:t xml:space="preserve">Condensed Consolidated Statements of Cash Flows – </w:t>
              </w:r>
            </w:hyperlink>
            <w:hyperlink w:anchor="i9a9401068034456ca0c46ddd2ff6760b_40">
              <w:r>
                <w:rPr>
                  <w:rStyle w:val="InternetLink"/>
                </w:rPr>
                <w:t>Three</w:t>
              </w:r>
            </w:hyperlink>
            <w:hyperlink w:anchor="i9a9401068034456ca0c46ddd2ff6760b_40">
              <w:r>
                <w:rPr>
                  <w:rStyle w:val="InternetLink"/>
                </w:rPr>
                <w:t xml:space="preserve"> Months Ended </w:t>
              </w:r>
            </w:hyperlink>
            <w:hyperlink w:anchor="i9a9401068034456ca0c46ddd2ff6760b_40">
              <w:r>
                <w:rPr>
                  <w:rStyle w:val="InternetLink"/>
                </w:rPr>
                <w:t>March</w:t>
              </w:r>
            </w:hyperlink>
            <w:hyperlink w:anchor="i9a9401068034456ca0c46ddd2ff6760b_40">
              <w:r>
                <w:rPr>
                  <w:rStyle w:val="InternetLink"/>
                </w:rPr>
                <w:t xml:space="preserve"> 3</w:t>
              </w:r>
            </w:hyperlink>
            <w:hyperlink w:anchor="i9a9401068034456ca0c46ddd2ff6760b_40">
              <w:r>
                <w:rPr>
                  <w:rStyle w:val="InternetLink"/>
                </w:rPr>
                <w:t>1</w:t>
              </w:r>
            </w:hyperlink>
            <w:hyperlink w:anchor="i9a9401068034456ca0c46ddd2ff6760b_40">
              <w:r>
                <w:rPr>
                  <w:rStyle w:val="InternetLink"/>
                </w:rPr>
                <w:t>, 202</w:t>
              </w:r>
            </w:hyperlink>
            <w:hyperlink w:anchor="i9a9401068034456ca0c46ddd2ff6760b_40">
              <w:r>
                <w:rPr>
                  <w:rStyle w:val="InternetLink"/>
                </w:rPr>
                <w:t>3</w:t>
              </w:r>
            </w:hyperlink>
            <w:hyperlink w:anchor="i9a9401068034456ca0c46ddd2ff6760b_40">
              <w:r>
                <w:rPr>
                  <w:rStyle w:val="InternetLink"/>
                </w:rPr>
                <w:t xml:space="preserve"> and 202</w:t>
              </w:r>
            </w:hyperlink>
            <w:hyperlink w:anchor="i9a9401068034456ca0c46ddd2ff6760b_40">
              <w:r>
                <w:rPr>
                  <w:rStyle w:val="InternetLink"/>
                </w:rPr>
                <w:t>2</w:t>
              </w:r>
            </w:hyperlink>
            <w:hyperlink w:anchor="i9a9401068034456ca0c46ddd2ff6760b_40">
              <w:r>
                <w:rPr>
                  <w:rStyle w:val="InternetLink"/>
                </w:rPr>
                <w:t xml:space="preserve"> (unaudited) </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40">
              <w:r>
                <w:rPr>
                  <w:rStyle w:val="InternetLink"/>
                  <w:rFonts w:ascii="Times New Roman;sans-serif" w:hAnsi="Times New Roman;sans-serif"/>
                  <w:b w:val="false"/>
                  <w:color w:val="0000FF"/>
                  <w:sz w:val="20"/>
                  <w:u w:val="single"/>
                </w:rPr>
                <w:t>4</w:t>
              </w:r>
            </w:hyperlink>
          </w:p>
          <w:p>
            <w:pPr>
              <w:pStyle w:val="TableContents"/>
              <w:spacing w:before="0" w:after="0"/>
              <w:jc w:val="center"/>
              <w:rPr/>
            </w:pPr>
            <w:r>
              <w:rPr/>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43">
              <w:r>
                <w:rPr>
                  <w:rStyle w:val="InternetLink"/>
                  <w:rFonts w:ascii="Times New Roman;sans-serif" w:hAnsi="Times New Roman;sans-serif"/>
                  <w:b w:val="false"/>
                  <w:color w:val="0000FF"/>
                  <w:sz w:val="20"/>
                  <w:u w:val="single"/>
                </w:rPr>
                <w:t>Notes to Condensed Consolidated Financial Statements (unaudited)</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43">
              <w:r>
                <w:rPr>
                  <w:rStyle w:val="InternetLink"/>
                  <w:rFonts w:ascii="Times New Roman;sans-serif" w:hAnsi="Times New Roman;sans-serif"/>
                  <w:b w:val="false"/>
                  <w:color w:val="0000FF"/>
                  <w:sz w:val="20"/>
                  <w:u w:val="single"/>
                </w:rPr>
                <w:t>5</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06">
              <w:r>
                <w:rPr>
                  <w:rStyle w:val="InternetLink"/>
                  <w:rFonts w:ascii="Times New Roman;sans-serif" w:hAnsi="Times New Roman;sans-serif"/>
                  <w:b/>
                  <w:color w:val="0000FF"/>
                  <w:sz w:val="20"/>
                  <w:u w:val="single"/>
                </w:rPr>
                <w:t>Item 2.       Management’s Discussion and Analysis of Financial Condition and Results of Operations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06">
              <w:r>
                <w:rPr>
                  <w:rStyle w:val="InternetLink"/>
                  <w:rFonts w:ascii="Times New Roman;sans-serif" w:hAnsi="Times New Roman;sans-serif"/>
                  <w:b w:val="false"/>
                  <w:color w:val="0000FF"/>
                  <w:sz w:val="20"/>
                  <w:u w:val="single"/>
                </w:rPr>
                <w:t>19</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24">
              <w:r>
                <w:rPr>
                  <w:rStyle w:val="InternetLink"/>
                  <w:rFonts w:ascii="Times New Roman;sans-serif" w:hAnsi="Times New Roman;sans-serif"/>
                  <w:b/>
                  <w:color w:val="0000FF"/>
                  <w:sz w:val="20"/>
                  <w:u w:val="single"/>
                </w:rPr>
                <w:t>Item 3.       Quantitative and Qualitative Disclosures About Market Risk</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24">
              <w:r>
                <w:rPr>
                  <w:rStyle w:val="InternetLink"/>
                  <w:rFonts w:ascii="Times New Roman;sans-serif" w:hAnsi="Times New Roman;sans-serif"/>
                  <w:b w:val="false"/>
                  <w:color w:val="0000FF"/>
                  <w:sz w:val="20"/>
                  <w:u w:val="single"/>
                </w:rPr>
                <w:t>30</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27">
              <w:r>
                <w:rPr>
                  <w:rStyle w:val="InternetLink"/>
                  <w:rFonts w:ascii="Times New Roman;sans-serif" w:hAnsi="Times New Roman;sans-serif"/>
                  <w:b/>
                  <w:color w:val="0000FF"/>
                  <w:sz w:val="20"/>
                  <w:u w:val="single"/>
                </w:rPr>
                <w:t>Item 4.       Controls and Procedures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27">
              <w:r>
                <w:rPr>
                  <w:rStyle w:val="InternetLink"/>
                  <w:rFonts w:ascii="Times New Roman;sans-serif" w:hAnsi="Times New Roman;sans-serif"/>
                  <w:b w:val="false"/>
                  <w:color w:val="0000FF"/>
                  <w:sz w:val="20"/>
                  <w:u w:val="single"/>
                </w:rPr>
                <w:t>30</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30">
              <w:r>
                <w:rPr>
                  <w:rStyle w:val="InternetLink"/>
                  <w:rFonts w:ascii="Times New Roman;sans-serif" w:hAnsi="Times New Roman;sans-serif"/>
                  <w:b/>
                  <w:color w:val="0000FF"/>
                  <w:sz w:val="20"/>
                  <w:u w:val="single"/>
                </w:rPr>
                <w:t>PART II – OTHER INFORMATION</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33">
              <w:r>
                <w:rPr>
                  <w:rStyle w:val="InternetLink"/>
                  <w:rFonts w:ascii="Times New Roman;sans-serif" w:hAnsi="Times New Roman;sans-serif"/>
                  <w:b/>
                  <w:color w:val="0000FF"/>
                  <w:sz w:val="20"/>
                  <w:u w:val="single"/>
                </w:rPr>
                <w:t>Item 1.       Legal Proceedings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33">
              <w:r>
                <w:rPr>
                  <w:rStyle w:val="InternetLink"/>
                  <w:rFonts w:ascii="Times New Roman;sans-serif" w:hAnsi="Times New Roman;sans-serif"/>
                  <w:b w:val="false"/>
                  <w:color w:val="0000FF"/>
                  <w:sz w:val="20"/>
                  <w:u w:val="single"/>
                </w:rPr>
                <w:t>31</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36">
              <w:r>
                <w:rPr>
                  <w:rStyle w:val="InternetLink"/>
                  <w:rFonts w:ascii="Times New Roman;sans-serif" w:hAnsi="Times New Roman;sans-serif"/>
                  <w:b/>
                  <w:color w:val="0000FF"/>
                  <w:sz w:val="20"/>
                  <w:u w:val="single"/>
                </w:rPr>
                <w:t>Item 1A.    Risk Factors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36">
              <w:r>
                <w:rPr>
                  <w:rStyle w:val="InternetLink"/>
                  <w:rFonts w:ascii="Times New Roman;sans-serif" w:hAnsi="Times New Roman;sans-serif"/>
                  <w:b w:val="false"/>
                  <w:color w:val="0000FF"/>
                  <w:sz w:val="20"/>
                  <w:u w:val="single"/>
                </w:rPr>
                <w:t>31</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42">
              <w:r>
                <w:rPr>
                  <w:rStyle w:val="InternetLink"/>
                  <w:rFonts w:ascii="Times New Roman;sans-serif" w:hAnsi="Times New Roman;sans-serif"/>
                  <w:b/>
                  <w:color w:val="0000FF"/>
                  <w:sz w:val="20"/>
                  <w:u w:val="single"/>
                </w:rPr>
                <w:t>Item 2.       Unregistered Sales of Equity Securities and Use of Proceeds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39">
              <w:r>
                <w:rPr>
                  <w:rStyle w:val="InternetLink"/>
                  <w:rFonts w:ascii="Times New Roman;sans-serif" w:hAnsi="Times New Roman;sans-serif"/>
                  <w:b w:val="false"/>
                  <w:color w:val="0000FF"/>
                  <w:sz w:val="20"/>
                  <w:u w:val="single"/>
                </w:rPr>
                <w:t>31</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42">
              <w:r>
                <w:rPr>
                  <w:rStyle w:val="InternetLink"/>
                  <w:rFonts w:ascii="Times New Roman;sans-serif" w:hAnsi="Times New Roman;sans-serif"/>
                  <w:b/>
                  <w:color w:val="0000FF"/>
                  <w:sz w:val="20"/>
                  <w:u w:val="single"/>
                </w:rPr>
                <w:t>Item 3. Defaults Upon Senior Securities</w:t>
              </w:r>
            </w:hyperlink>
            <w:r>
              <w:rPr>
                <w:color w:val="000000"/>
              </w:rPr>
              <w:t xml:space="preserve"> </w:t>
            </w:r>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51">
              <w:r>
                <w:rPr>
                  <w:rStyle w:val="InternetLink"/>
                  <w:rFonts w:ascii="Times New Roman;sans-serif" w:hAnsi="Times New Roman;sans-serif"/>
                  <w:b w:val="false"/>
                  <w:color w:val="0000FF"/>
                  <w:sz w:val="20"/>
                  <w:u w:val="single"/>
                </w:rPr>
                <w:t>33</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45">
              <w:r>
                <w:rPr>
                  <w:rStyle w:val="InternetLink"/>
                  <w:rFonts w:ascii="Times New Roman;sans-serif" w:hAnsi="Times New Roman;sans-serif"/>
                  <w:b/>
                  <w:color w:val="0000FF"/>
                  <w:sz w:val="20"/>
                  <w:u w:val="single"/>
                </w:rPr>
                <w:t>Item 4. Mine Safety Disclosures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51">
              <w:r>
                <w:rPr>
                  <w:rStyle w:val="InternetLink"/>
                  <w:rFonts w:ascii="Times New Roman;sans-serif" w:hAnsi="Times New Roman;sans-serif"/>
                  <w:b w:val="false"/>
                  <w:color w:val="0000FF"/>
                  <w:sz w:val="20"/>
                  <w:u w:val="single"/>
                </w:rPr>
                <w:t>33</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48">
              <w:r>
                <w:rPr>
                  <w:rStyle w:val="InternetLink"/>
                  <w:rFonts w:ascii="Times New Roman;sans-serif" w:hAnsi="Times New Roman;sans-serif"/>
                  <w:b/>
                  <w:color w:val="0000FF"/>
                  <w:sz w:val="20"/>
                  <w:u w:val="single"/>
                </w:rPr>
                <w:t>Item 5. Other Information</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51">
              <w:r>
                <w:rPr>
                  <w:rStyle w:val="InternetLink"/>
                  <w:rFonts w:ascii="Times New Roman;sans-serif" w:hAnsi="Times New Roman;sans-serif"/>
                  <w:b w:val="false"/>
                  <w:color w:val="0000FF"/>
                  <w:sz w:val="20"/>
                  <w:u w:val="single"/>
                </w:rPr>
                <w:t>33</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51">
              <w:r>
                <w:rPr>
                  <w:rStyle w:val="InternetLink"/>
                  <w:rFonts w:ascii="Times New Roman;sans-serif" w:hAnsi="Times New Roman;sans-serif"/>
                  <w:b/>
                  <w:color w:val="0000FF"/>
                  <w:sz w:val="20"/>
                  <w:u w:val="single"/>
                </w:rPr>
                <w:t>Item 6.       Exhibits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51">
              <w:r>
                <w:rPr>
                  <w:rStyle w:val="InternetLink"/>
                  <w:rFonts w:ascii="Times New Roman;sans-serif" w:hAnsi="Times New Roman;sans-serif"/>
                  <w:b w:val="false"/>
                  <w:color w:val="0000FF"/>
                  <w:sz w:val="20"/>
                  <w:u w:val="single"/>
                </w:rPr>
                <w:t>33</w:t>
              </w:r>
            </w:hyperlink>
          </w:p>
        </w:tc>
      </w:tr>
      <w:tr>
        <w:trPr/>
        <w:tc>
          <w:tcPr>
            <w:tcW w:w="969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9a9401068034456ca0c46ddd2ff6760b_154">
              <w:r>
                <w:rPr>
                  <w:rStyle w:val="InternetLink"/>
                  <w:rFonts w:ascii="Times New Roman;sans-serif" w:hAnsi="Times New Roman;sans-serif"/>
                  <w:b/>
                  <w:color w:val="0000FF"/>
                  <w:sz w:val="20"/>
                  <w:u w:val="single"/>
                </w:rPr>
                <w:t>SIGNATURES</w:t>
              </w:r>
            </w:hyperlink>
          </w:p>
        </w:tc>
        <w:tc>
          <w:tcPr>
            <w:tcW w:w="51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9a9401068034456ca0c46ddd2ff6760b_154">
              <w:r>
                <w:rPr>
                  <w:rStyle w:val="InternetLink"/>
                  <w:rFonts w:ascii="Times New Roman;sans-serif" w:hAnsi="Times New Roman;sans-serif"/>
                  <w:b w:val="false"/>
                  <w:color w:val="0000FF"/>
                  <w:sz w:val="20"/>
                  <w:u w:val="single"/>
                </w:rPr>
                <w:t>34</w:t>
              </w:r>
            </w:hyperlink>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r>
        <w:trPr/>
        <w:tc>
          <w:tcPr>
            <w:tcW w:w="9692" w:type="dxa"/>
            <w:gridSpan w:val="3"/>
            <w:tcBorders/>
            <w:shd w:fill="auto" w:val="clear"/>
            <w:vAlign w:val="center"/>
          </w:tcPr>
          <w:p>
            <w:pPr>
              <w:pStyle w:val="TableContents"/>
              <w:spacing w:before="0" w:after="283"/>
              <w:rPr>
                <w:sz w:val="4"/>
                <w:szCs w:val="4"/>
              </w:rPr>
            </w:pPr>
            <w:r>
              <w:rPr>
                <w:sz w:val="4"/>
                <w:szCs w:val="4"/>
              </w:rPr>
            </w:r>
          </w:p>
        </w:tc>
        <w:tc>
          <w:tcPr>
            <w:tcW w:w="513" w:type="dxa"/>
            <w:gridSpan w:val="3"/>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60" w:after="160"/>
        <w:ind w:left="0" w:right="0" w:firstLine="45"/>
        <w:jc w:val="center"/>
        <w:rPr>
          <w:rFonts w:ascii="Times New Roman;sans-serif" w:hAnsi="Times New Roman;sans-serif"/>
          <w:b w:val="false"/>
          <w:color w:val="000000"/>
          <w:sz w:val="20"/>
        </w:rPr>
      </w:pPr>
      <w:r>
        <w:rPr>
          <w:rFonts w:ascii="Times New Roman;sans-serif" w:hAnsi="Times New Roman;sans-serif"/>
          <w:b w:val="false"/>
          <w:color w:val="000000"/>
          <w:sz w:val="20"/>
        </w:rPr>
        <w:t>i</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6480175" cy="175260"/>
                <wp:effectExtent l="0" t="0" r="0" b="0"/>
                <wp:wrapNone/>
                <wp:docPr id="3" name="Frame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PART I — FINANCIAL INFORMATION</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1.Financial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FLOWSERVE CORPORATION</w:t>
      </w:r>
    </w:p>
    <w:p>
      <w:pPr>
        <w:pStyle w:val="TextBody"/>
        <w:spacing w:lineRule="auto" w:line="288" w:before="140" w:after="283"/>
        <w:jc w:val="center"/>
        <w:rPr>
          <w:rFonts w:ascii="Times New Roman;sans-serif" w:hAnsi="Times New Roman;sans-serif"/>
          <w:b/>
          <w:color w:val="000000"/>
          <w:sz w:val="20"/>
        </w:rPr>
      </w:pPr>
      <w:r>
        <w:rPr>
          <w:rFonts w:ascii="Times New Roman;sans-serif" w:hAnsi="Times New Roman;sans-serif"/>
          <w:b/>
          <w:color w:val="000000"/>
          <w:sz w:val="20"/>
        </w:rPr>
        <w:t>CONDENSED CONSOLIDATED STATEMENTS OF INCOME</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(Unaudited)</w:t>
      </w:r>
    </w:p>
    <w:tbl>
      <w:tblPr>
        <w:tblW w:w="10197" w:type="dxa"/>
        <w:jc w:val="center"/>
        <w:tblInd w:w="0" w:type="dxa"/>
        <w:tblCellMar>
          <w:top w:w="28" w:type="dxa"/>
          <w:left w:w="28" w:type="dxa"/>
          <w:bottom w:w="28" w:type="dxa"/>
          <w:right w:w="28" w:type="dxa"/>
        </w:tblCellMar>
      </w:tblPr>
      <w:tblGrid>
        <w:gridCol w:w="2667"/>
        <w:gridCol w:w="2340"/>
        <w:gridCol w:w="2357"/>
        <w:gridCol w:w="224"/>
        <w:gridCol w:w="879"/>
        <w:gridCol w:w="116"/>
        <w:gridCol w:w="116"/>
        <w:gridCol w:w="116"/>
        <w:gridCol w:w="116"/>
        <w:gridCol w:w="224"/>
        <w:gridCol w:w="879"/>
        <w:gridCol w:w="163"/>
      </w:tblGrid>
      <w:tr>
        <w:trPr/>
        <w:tc>
          <w:tcPr>
            <w:tcW w:w="2667" w:type="dxa"/>
            <w:tcBorders/>
            <w:shd w:fill="auto" w:val="clear"/>
            <w:vAlign w:val="center"/>
          </w:tcPr>
          <w:p>
            <w:pPr>
              <w:pStyle w:val="TableContents"/>
              <w:spacing w:before="0" w:after="283"/>
              <w:rPr>
                <w:sz w:val="4"/>
                <w:szCs w:val="4"/>
              </w:rPr>
            </w:pPr>
            <w:r>
              <w:rPr>
                <w:sz w:val="4"/>
                <w:szCs w:val="4"/>
              </w:rPr>
            </w:r>
          </w:p>
        </w:tc>
        <w:tc>
          <w:tcPr>
            <w:tcW w:w="2340" w:type="dxa"/>
            <w:tcBorders/>
            <w:shd w:fill="auto" w:val="clear"/>
            <w:vAlign w:val="center"/>
          </w:tcPr>
          <w:p>
            <w:pPr>
              <w:pStyle w:val="TableContents"/>
              <w:spacing w:before="0" w:after="283"/>
              <w:rPr>
                <w:sz w:val="4"/>
                <w:szCs w:val="4"/>
              </w:rPr>
            </w:pPr>
            <w:r>
              <w:rPr>
                <w:sz w:val="4"/>
                <w:szCs w:val="4"/>
              </w:rPr>
            </w:r>
          </w:p>
        </w:tc>
        <w:tc>
          <w:tcPr>
            <w:tcW w:w="2357"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736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 except per share data)</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736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21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4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w:t>
            </w:r>
          </w:p>
        </w:tc>
        <w:tc>
          <w:tcPr>
            <w:tcW w:w="2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980,305 </w:t>
            </w:r>
          </w:p>
        </w:tc>
        <w:tc>
          <w:tcPr>
            <w:tcW w:w="11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821,058 </w:t>
            </w:r>
          </w:p>
        </w:tc>
        <w:tc>
          <w:tcPr>
            <w:tcW w:w="16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Cost of sales</w:t>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(683,475)</w:t>
            </w:r>
          </w:p>
        </w:tc>
        <w:tc>
          <w:tcPr>
            <w:tcW w:w="1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(611,411)</w:t>
            </w:r>
          </w:p>
        </w:tc>
        <w:tc>
          <w:tcPr>
            <w:tcW w:w="16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w:t>
            </w:r>
          </w:p>
        </w:tc>
        <w:tc>
          <w:tcPr>
            <w:tcW w:w="110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296,830 </w:t>
            </w:r>
          </w:p>
        </w:tc>
        <w:tc>
          <w:tcPr>
            <w:tcW w:w="11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209,647 </w:t>
            </w:r>
          </w:p>
        </w:tc>
        <w:tc>
          <w:tcPr>
            <w:tcW w:w="16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Selling, general and administrative expense</w:t>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(244,268)</w:t>
            </w:r>
          </w:p>
        </w:tc>
        <w:tc>
          <w:tcPr>
            <w:tcW w:w="1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(206,138)</w:t>
            </w:r>
          </w:p>
        </w:tc>
        <w:tc>
          <w:tcPr>
            <w:tcW w:w="16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auto" w:val="clear"/>
            <w:vAlign w:val="center"/>
          </w:tcPr>
          <w:p>
            <w:pPr>
              <w:pStyle w:val="TableContents"/>
              <w:spacing w:before="0" w:after="283"/>
              <w:rPr>
                <w:sz w:val="4"/>
                <w:szCs w:val="4"/>
              </w:rPr>
            </w:pPr>
            <w:r>
              <w:rPr>
                <w:sz w:val="4"/>
                <w:szCs w:val="4"/>
              </w:rPr>
            </w:r>
          </w:p>
        </w:tc>
        <w:tc>
          <w:tcPr>
            <w:tcW w:w="1219" w:type="dxa"/>
            <w:gridSpan w:val="3"/>
            <w:tcBorders/>
            <w:shd w:fill="auto" w:val="clear"/>
            <w:vAlign w:val="center"/>
          </w:tcPr>
          <w:p>
            <w:pPr>
              <w:pStyle w:val="TableContents"/>
              <w:spacing w:before="0" w:after="283"/>
              <w:rPr>
                <w:sz w:val="4"/>
                <w:szCs w:val="4"/>
              </w:rPr>
            </w:pPr>
            <w:r>
              <w:rPr>
                <w:sz w:val="4"/>
                <w:szCs w:val="4"/>
              </w:rPr>
            </w:r>
          </w:p>
        </w:tc>
        <w:tc>
          <w:tcPr>
            <w:tcW w:w="348" w:type="dxa"/>
            <w:gridSpan w:val="3"/>
            <w:tcBorders/>
            <w:shd w:fill="auto" w:val="clear"/>
            <w:vAlign w:val="center"/>
          </w:tcPr>
          <w:p>
            <w:pPr>
              <w:pStyle w:val="TableContents"/>
              <w:spacing w:before="0" w:after="283"/>
              <w:rPr>
                <w:sz w:val="4"/>
                <w:szCs w:val="4"/>
              </w:rPr>
            </w:pPr>
            <w:r>
              <w:rPr>
                <w:sz w:val="4"/>
                <w:szCs w:val="4"/>
              </w:rPr>
            </w:r>
          </w:p>
        </w:tc>
        <w:tc>
          <w:tcPr>
            <w:tcW w:w="1266" w:type="dxa"/>
            <w:gridSpan w:val="3"/>
            <w:tcBorders/>
            <w:shd w:fill="auto" w:val="cle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Net earnings from affiliates </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4,624 </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3,858 </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income</w:t>
            </w:r>
          </w:p>
        </w:tc>
        <w:tc>
          <w:tcPr>
            <w:tcW w:w="1103"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57,186 </w:t>
            </w:r>
          </w:p>
        </w:tc>
        <w:tc>
          <w:tcPr>
            <w:tcW w:w="11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7,367 </w:t>
            </w:r>
          </w:p>
        </w:tc>
        <w:tc>
          <w:tcPr>
            <w:tcW w:w="16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expense</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(16,211)</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(10,693)</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auto" w:val="clear"/>
            <w:vAlign w:val="center"/>
          </w:tcPr>
          <w:p>
            <w:pPr>
              <w:pStyle w:val="TableContents"/>
              <w:spacing w:before="0" w:after="283"/>
              <w:rPr>
                <w:sz w:val="4"/>
                <w:szCs w:val="4"/>
              </w:rPr>
            </w:pPr>
            <w:r>
              <w:rPr>
                <w:sz w:val="4"/>
                <w:szCs w:val="4"/>
              </w:rPr>
            </w:r>
          </w:p>
        </w:tc>
        <w:tc>
          <w:tcPr>
            <w:tcW w:w="1219" w:type="dxa"/>
            <w:gridSpan w:val="3"/>
            <w:tcBorders/>
            <w:shd w:fill="auto" w:val="clear"/>
            <w:vAlign w:val="center"/>
          </w:tcPr>
          <w:p>
            <w:pPr>
              <w:pStyle w:val="TableContents"/>
              <w:spacing w:before="0" w:after="283"/>
              <w:rPr>
                <w:sz w:val="4"/>
                <w:szCs w:val="4"/>
              </w:rPr>
            </w:pPr>
            <w:r>
              <w:rPr>
                <w:sz w:val="4"/>
                <w:szCs w:val="4"/>
              </w:rPr>
            </w:r>
          </w:p>
        </w:tc>
        <w:tc>
          <w:tcPr>
            <w:tcW w:w="348" w:type="dxa"/>
            <w:gridSpan w:val="3"/>
            <w:tcBorders/>
            <w:shd w:fill="auto" w:val="clear"/>
            <w:vAlign w:val="center"/>
          </w:tcPr>
          <w:p>
            <w:pPr>
              <w:pStyle w:val="TableContents"/>
              <w:spacing w:before="0" w:after="283"/>
              <w:rPr>
                <w:sz w:val="4"/>
                <w:szCs w:val="4"/>
              </w:rPr>
            </w:pPr>
            <w:r>
              <w:rPr>
                <w:sz w:val="4"/>
                <w:szCs w:val="4"/>
              </w:rPr>
            </w:r>
          </w:p>
        </w:tc>
        <w:tc>
          <w:tcPr>
            <w:tcW w:w="1266" w:type="dxa"/>
            <w:gridSpan w:val="3"/>
            <w:tcBorders/>
            <w:shd w:fill="auto" w:val="cle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income</w:t>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1,494 </w:t>
            </w:r>
          </w:p>
        </w:tc>
        <w:tc>
          <w:tcPr>
            <w:tcW w:w="1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943 </w:t>
            </w:r>
          </w:p>
        </w:tc>
        <w:tc>
          <w:tcPr>
            <w:tcW w:w="16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income (expense), net</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(8,020)</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(8,114)</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Earnings (loss) before income taxes</w:t>
            </w:r>
          </w:p>
        </w:tc>
        <w:tc>
          <w:tcPr>
            <w:tcW w:w="1103"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34,449 </w:t>
            </w:r>
          </w:p>
        </w:tc>
        <w:tc>
          <w:tcPr>
            <w:tcW w:w="11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(10,497)</w:t>
            </w:r>
          </w:p>
        </w:tc>
        <w:tc>
          <w:tcPr>
            <w:tcW w:w="16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Provision for income taxes</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(4,453)</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(3,182)</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earnings (loss), including noncontrolling interests</w:t>
            </w:r>
          </w:p>
        </w:tc>
        <w:tc>
          <w:tcPr>
            <w:tcW w:w="1103"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29,996 </w:t>
            </w:r>
          </w:p>
        </w:tc>
        <w:tc>
          <w:tcPr>
            <w:tcW w:w="11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(13,679)</w:t>
            </w:r>
          </w:p>
        </w:tc>
        <w:tc>
          <w:tcPr>
            <w:tcW w:w="16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Less: Net earnings attributable to noncontrolling interests</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(3,230)</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(2,141)</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Net earnings (loss) attributable to Flowserve Corporation </w:t>
            </w:r>
          </w:p>
        </w:tc>
        <w:tc>
          <w:tcPr>
            <w:tcW w:w="224"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9"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26,766 </w:t>
            </w:r>
          </w:p>
        </w:tc>
        <w:tc>
          <w:tcPr>
            <w:tcW w:w="11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4"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9"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(15,820)</w:t>
            </w:r>
          </w:p>
        </w:tc>
        <w:tc>
          <w:tcPr>
            <w:tcW w:w="16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earnings (loss) per share attributable to Flowserve Corporation common shareholders:</w:t>
            </w:r>
          </w:p>
        </w:tc>
        <w:tc>
          <w:tcPr>
            <w:tcW w:w="1219" w:type="dxa"/>
            <w:gridSpan w:val="3"/>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6" w:type="dxa"/>
            <w:gridSpan w:val="3"/>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Basic</w:t>
            </w:r>
          </w:p>
        </w:tc>
        <w:tc>
          <w:tcPr>
            <w:tcW w:w="224"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9"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0.20 </w:t>
            </w:r>
          </w:p>
        </w:tc>
        <w:tc>
          <w:tcPr>
            <w:tcW w:w="1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4"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9"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(0.12)</w:t>
            </w:r>
          </w:p>
        </w:tc>
        <w:tc>
          <w:tcPr>
            <w:tcW w:w="16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Diluted</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0.20 </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(0.12)</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Weighted average shares – basic</w:t>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130,930 </w:t>
            </w:r>
          </w:p>
        </w:tc>
        <w:tc>
          <w:tcPr>
            <w:tcW w:w="1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130,410 </w:t>
            </w:r>
          </w:p>
        </w:tc>
        <w:tc>
          <w:tcPr>
            <w:tcW w:w="16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Weighted average shares – diluted</w:t>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131,754 </w:t>
            </w:r>
          </w:p>
        </w:tc>
        <w:tc>
          <w:tcPr>
            <w:tcW w:w="1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130,410 </w:t>
            </w:r>
          </w:p>
        </w:tc>
        <w:tc>
          <w:tcPr>
            <w:tcW w:w="16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64" w:type="dxa"/>
            <w:gridSpan w:val="3"/>
            <w:tcBorders/>
            <w:shd w:fill="auto" w:val="clear"/>
            <w:vAlign w:val="center"/>
          </w:tcPr>
          <w:p>
            <w:pPr>
              <w:pStyle w:val="TableContents"/>
              <w:spacing w:before="0" w:after="283"/>
              <w:rPr>
                <w:sz w:val="4"/>
                <w:szCs w:val="4"/>
              </w:rPr>
            </w:pPr>
            <w:r>
              <w:rPr>
                <w:sz w:val="4"/>
                <w:szCs w:val="4"/>
              </w:rPr>
            </w:r>
          </w:p>
        </w:tc>
        <w:tc>
          <w:tcPr>
            <w:tcW w:w="1219" w:type="dxa"/>
            <w:gridSpan w:val="3"/>
            <w:tcBorders/>
            <w:shd w:fill="auto" w:val="clear"/>
            <w:vAlign w:val="center"/>
          </w:tcPr>
          <w:p>
            <w:pPr>
              <w:pStyle w:val="TableContents"/>
              <w:spacing w:before="0" w:after="283"/>
              <w:rPr>
                <w:sz w:val="4"/>
                <w:szCs w:val="4"/>
              </w:rPr>
            </w:pPr>
            <w:r>
              <w:rPr>
                <w:sz w:val="4"/>
                <w:szCs w:val="4"/>
              </w:rPr>
            </w:r>
          </w:p>
        </w:tc>
        <w:tc>
          <w:tcPr>
            <w:tcW w:w="348" w:type="dxa"/>
            <w:gridSpan w:val="3"/>
            <w:tcBorders/>
            <w:shd w:fill="auto" w:val="clear"/>
            <w:vAlign w:val="center"/>
          </w:tcPr>
          <w:p>
            <w:pPr>
              <w:pStyle w:val="TableContents"/>
              <w:spacing w:before="0" w:after="283"/>
              <w:rPr>
                <w:sz w:val="4"/>
                <w:szCs w:val="4"/>
              </w:rPr>
            </w:pPr>
            <w:r>
              <w:rPr>
                <w:sz w:val="4"/>
                <w:szCs w:val="4"/>
              </w:rPr>
            </w:r>
          </w:p>
        </w:tc>
        <w:tc>
          <w:tcPr>
            <w:tcW w:w="1266" w:type="dxa"/>
            <w:gridSpan w:val="3"/>
            <w:tcBorders/>
            <w:shd w:fill="auto" w:val="clear"/>
            <w:vAlign w:val="cente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CONDENSED CONSOLIDATED STATEMENTS OF COMPREHENSIVE INCOME (LOSS)</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(Unaudited)</w:t>
      </w:r>
    </w:p>
    <w:tbl>
      <w:tblPr>
        <w:tblW w:w="10205" w:type="dxa"/>
        <w:jc w:val="center"/>
        <w:tblInd w:w="0" w:type="dxa"/>
        <w:tblCellMar>
          <w:top w:w="28" w:type="dxa"/>
          <w:left w:w="28" w:type="dxa"/>
          <w:bottom w:w="28" w:type="dxa"/>
          <w:right w:w="28" w:type="dxa"/>
        </w:tblCellMar>
      </w:tblPr>
      <w:tblGrid>
        <w:gridCol w:w="2673"/>
        <w:gridCol w:w="2346"/>
        <w:gridCol w:w="2354"/>
        <w:gridCol w:w="235"/>
        <w:gridCol w:w="807"/>
        <w:gridCol w:w="121"/>
        <w:gridCol w:w="121"/>
        <w:gridCol w:w="121"/>
        <w:gridCol w:w="121"/>
        <w:gridCol w:w="235"/>
        <w:gridCol w:w="891"/>
        <w:gridCol w:w="180"/>
      </w:tblGrid>
      <w:tr>
        <w:trPr/>
        <w:tc>
          <w:tcPr>
            <w:tcW w:w="2673" w:type="dxa"/>
            <w:tcBorders/>
            <w:shd w:fill="auto" w:val="clear"/>
            <w:vAlign w:val="center"/>
          </w:tcPr>
          <w:p>
            <w:pPr>
              <w:pStyle w:val="TableContents"/>
              <w:spacing w:before="0" w:after="283"/>
              <w:rPr>
                <w:sz w:val="4"/>
                <w:szCs w:val="4"/>
              </w:rPr>
            </w:pPr>
            <w:r>
              <w:rPr>
                <w:sz w:val="4"/>
                <w:szCs w:val="4"/>
              </w:rPr>
            </w:r>
          </w:p>
        </w:tc>
        <w:tc>
          <w:tcPr>
            <w:tcW w:w="2346" w:type="dxa"/>
            <w:tcBorders/>
            <w:shd w:fill="auto" w:val="clear"/>
            <w:vAlign w:val="center"/>
          </w:tcPr>
          <w:p>
            <w:pPr>
              <w:pStyle w:val="TableContents"/>
              <w:spacing w:before="0" w:after="283"/>
              <w:rPr>
                <w:sz w:val="4"/>
                <w:szCs w:val="4"/>
              </w:rPr>
            </w:pPr>
            <w:r>
              <w:rPr>
                <w:sz w:val="4"/>
                <w:szCs w:val="4"/>
              </w:rPr>
            </w:r>
          </w:p>
        </w:tc>
        <w:tc>
          <w:tcPr>
            <w:tcW w:w="2354"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891"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r>
      <w:tr>
        <w:trPr/>
        <w:tc>
          <w:tcPr>
            <w:tcW w:w="73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2832"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73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16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737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earnings (loss), including noncontrolling interests</w:t>
            </w:r>
          </w:p>
        </w:tc>
        <w:tc>
          <w:tcPr>
            <w:tcW w:w="23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0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29,996 </w:t>
            </w:r>
          </w:p>
        </w:tc>
        <w:tc>
          <w:tcPr>
            <w:tcW w:w="12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9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(13,679)</w:t>
            </w:r>
          </w:p>
        </w:tc>
        <w:tc>
          <w:tcPr>
            <w:tcW w:w="18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comprehensive income (loss):</w:t>
            </w:r>
          </w:p>
        </w:tc>
        <w:tc>
          <w:tcPr>
            <w:tcW w:w="116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73"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Foreign currency translation adjustments, net of taxes of $717 and $(13,306), respectively</w:t>
            </w:r>
          </w:p>
        </w:tc>
        <w:tc>
          <w:tcPr>
            <w:tcW w:w="10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13,506 </w:t>
            </w:r>
          </w:p>
        </w:tc>
        <w:tc>
          <w:tcPr>
            <w:tcW w:w="12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(16,744)</w:t>
            </w:r>
          </w:p>
        </w:tc>
        <w:tc>
          <w:tcPr>
            <w:tcW w:w="18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Pension and other postretirement effects, net of taxes of $(12) and $(254), respectively</w:t>
            </w:r>
          </w:p>
        </w:tc>
        <w:tc>
          <w:tcPr>
            <w:tcW w:w="10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(443)</w:t>
            </w:r>
          </w:p>
        </w:tc>
        <w:tc>
          <w:tcPr>
            <w:tcW w:w="12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3,587 </w:t>
            </w:r>
          </w:p>
        </w:tc>
        <w:tc>
          <w:tcPr>
            <w:tcW w:w="18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Cash flow hedging activity, net of taxes of $(9) and $0, respectively</w:t>
            </w:r>
          </w:p>
        </w:tc>
        <w:tc>
          <w:tcPr>
            <w:tcW w:w="10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30 </w:t>
            </w:r>
          </w:p>
        </w:tc>
        <w:tc>
          <w:tcPr>
            <w:tcW w:w="12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29 </w:t>
            </w:r>
          </w:p>
        </w:tc>
        <w:tc>
          <w:tcPr>
            <w:tcW w:w="18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comprehensive income (loss)</w:t>
            </w:r>
          </w:p>
        </w:tc>
        <w:tc>
          <w:tcPr>
            <w:tcW w:w="10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13,093 </w:t>
            </w:r>
          </w:p>
        </w:tc>
        <w:tc>
          <w:tcPr>
            <w:tcW w:w="12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(13,128)</w:t>
            </w:r>
          </w:p>
        </w:tc>
        <w:tc>
          <w:tcPr>
            <w:tcW w:w="18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Comprehensive income (loss), including noncontrolling interests</w:t>
            </w:r>
          </w:p>
        </w:tc>
        <w:tc>
          <w:tcPr>
            <w:tcW w:w="10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43,089 </w:t>
            </w:r>
          </w:p>
        </w:tc>
        <w:tc>
          <w:tcPr>
            <w:tcW w:w="12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(26,807)</w:t>
            </w:r>
          </w:p>
        </w:tc>
        <w:tc>
          <w:tcPr>
            <w:tcW w:w="18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Comprehensive (income) loss attributable to noncontrolling interests</w:t>
            </w:r>
          </w:p>
        </w:tc>
        <w:tc>
          <w:tcPr>
            <w:tcW w:w="104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(68)</w:t>
            </w:r>
          </w:p>
        </w:tc>
        <w:tc>
          <w:tcPr>
            <w:tcW w:w="121"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(3,476)</w:t>
            </w:r>
          </w:p>
        </w:tc>
        <w:tc>
          <w:tcPr>
            <w:tcW w:w="180"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7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Comprehensive income (loss) attributable to Flowserve Corporation</w:t>
            </w:r>
          </w:p>
        </w:tc>
        <w:tc>
          <w:tcPr>
            <w:tcW w:w="23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0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43,021 </w:t>
            </w:r>
          </w:p>
        </w:tc>
        <w:tc>
          <w:tcPr>
            <w:tcW w:w="1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6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9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(30,283)</w:t>
            </w:r>
          </w:p>
        </w:tc>
        <w:tc>
          <w:tcPr>
            <w:tcW w:w="18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See accompanying notes to condensed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6480175" cy="351155"/>
                <wp:effectExtent l="0" t="0" r="0" b="0"/>
                <wp:wrapNone/>
                <wp:docPr id="4" name="Frame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FLOWSERVE CORPORATION</w:t>
      </w:r>
    </w:p>
    <w:p>
      <w:pPr>
        <w:pStyle w:val="TextBody"/>
        <w:spacing w:lineRule="auto" w:line="288" w:before="140" w:after="283"/>
        <w:jc w:val="center"/>
        <w:rPr>
          <w:rFonts w:ascii="Times New Roman;sans-serif" w:hAnsi="Times New Roman;sans-serif"/>
          <w:b/>
          <w:color w:val="000000"/>
          <w:sz w:val="20"/>
        </w:rPr>
      </w:pPr>
      <w:r>
        <w:rPr>
          <w:rFonts w:ascii="Times New Roman;sans-serif" w:hAnsi="Times New Roman;sans-serif"/>
          <w:b/>
          <w:color w:val="000000"/>
          <w:sz w:val="20"/>
        </w:rPr>
        <w:t>CONDENSED CONSOLIDATED BALANCE SHEETS</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(Unaudited)</w:t>
      </w:r>
    </w:p>
    <w:tbl>
      <w:tblPr>
        <w:tblW w:w="10205" w:type="dxa"/>
        <w:jc w:val="center"/>
        <w:tblInd w:w="0" w:type="dxa"/>
        <w:tblCellMar>
          <w:top w:w="28" w:type="dxa"/>
          <w:left w:w="28" w:type="dxa"/>
          <w:bottom w:w="28" w:type="dxa"/>
          <w:right w:w="28" w:type="dxa"/>
        </w:tblCellMar>
      </w:tblPr>
      <w:tblGrid>
        <w:gridCol w:w="2695"/>
        <w:gridCol w:w="2264"/>
        <w:gridCol w:w="2280"/>
        <w:gridCol w:w="211"/>
        <w:gridCol w:w="976"/>
        <w:gridCol w:w="109"/>
        <w:gridCol w:w="109"/>
        <w:gridCol w:w="109"/>
        <w:gridCol w:w="109"/>
        <w:gridCol w:w="211"/>
        <w:gridCol w:w="976"/>
        <w:gridCol w:w="156"/>
      </w:tblGrid>
      <w:tr>
        <w:trPr/>
        <w:tc>
          <w:tcPr>
            <w:tcW w:w="2695" w:type="dxa"/>
            <w:tcBorders/>
            <w:shd w:fill="auto" w:val="clear"/>
            <w:vAlign w:val="center"/>
          </w:tcPr>
          <w:p>
            <w:pPr>
              <w:pStyle w:val="TableContents"/>
              <w:spacing w:before="0" w:after="283"/>
              <w:rPr>
                <w:sz w:val="4"/>
                <w:szCs w:val="4"/>
              </w:rPr>
            </w:pPr>
            <w:r>
              <w:rPr>
                <w:sz w:val="4"/>
                <w:szCs w:val="4"/>
              </w:rPr>
            </w:r>
          </w:p>
        </w:tc>
        <w:tc>
          <w:tcPr>
            <w:tcW w:w="2264" w:type="dxa"/>
            <w:tcBorders/>
            <w:shd w:fill="auto" w:val="clear"/>
            <w:vAlign w:val="center"/>
          </w:tcPr>
          <w:p>
            <w:pPr>
              <w:pStyle w:val="TableContents"/>
              <w:spacing w:before="0" w:after="283"/>
              <w:rPr>
                <w:sz w:val="4"/>
                <w:szCs w:val="4"/>
              </w:rPr>
            </w:pPr>
            <w:r>
              <w:rPr>
                <w:sz w:val="4"/>
                <w:szCs w:val="4"/>
              </w:rPr>
            </w:r>
          </w:p>
        </w:tc>
        <w:tc>
          <w:tcPr>
            <w:tcW w:w="2280"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72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 except par value)</w:t>
            </w:r>
          </w:p>
        </w:tc>
        <w:tc>
          <w:tcPr>
            <w:tcW w:w="129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March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72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10205" w:type="dxa"/>
            <w:gridSpan w:val="12"/>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ASSETS</w:t>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Current assets:</w:t>
            </w:r>
          </w:p>
        </w:tc>
        <w:tc>
          <w:tcPr>
            <w:tcW w:w="129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and cash equivalents</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404,726 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434,971 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Accounts receivable, net of allowance for expected credit losses of $82,517 and $83,062, respectively</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904,184 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868,632 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Contract assets, net of allowance for expected credit losses of $5,589 and $5,819, respectively</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231,864 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233,457 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Inventories, net</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882,252 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803,198 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auto" w:val="clear"/>
            <w:vAlign w:val="center"/>
          </w:tcPr>
          <w:p>
            <w:pPr>
              <w:pStyle w:val="TableContents"/>
              <w:spacing w:before="0" w:after="283"/>
              <w:rPr>
                <w:sz w:val="4"/>
                <w:szCs w:val="4"/>
              </w:rPr>
            </w:pPr>
            <w:r>
              <w:rPr>
                <w:sz w:val="4"/>
                <w:szCs w:val="4"/>
              </w:rPr>
            </w:r>
          </w:p>
        </w:tc>
        <w:tc>
          <w:tcPr>
            <w:tcW w:w="129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Prepaid expenses and other</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119,209 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110,714 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current assets</w:t>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2,542,235 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2,450,972 </w:t>
            </w:r>
          </w:p>
        </w:tc>
        <w:tc>
          <w:tcPr>
            <w:tcW w:w="1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Property, plant and equipment, net of accumulated depreciation of $1,183,972 and $1,172,957, respectively</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496,434 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500,945 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lease right-of-use assets, net</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168,682 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174,980 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Goodwill</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1,173,718 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1,168,124 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Deferred taxes</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151,852 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149,290 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intangible assets, net</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128,258 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134,503 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Other assets, net of allowance for expected credit losses of $65,575 and $66,377, respectively</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214,570 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211,820 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assets</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4,875,749 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4,790,634 </w:t>
            </w:r>
          </w:p>
        </w:tc>
        <w:tc>
          <w:tcPr>
            <w:tcW w:w="1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12"/>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LIABILITIES AND EQUITY</w:t>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Current liabilities:</w:t>
            </w:r>
          </w:p>
        </w:tc>
        <w:tc>
          <w:tcPr>
            <w:tcW w:w="129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Accounts payable</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488,761 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476,747 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Accrued liabilities</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455,309 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427,578 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Contract liabilities</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291,638 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256,963 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Debt due within one year</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53,387 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49,335 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auto" w:val="clear"/>
            <w:vAlign w:val="center"/>
          </w:tcPr>
          <w:p>
            <w:pPr>
              <w:pStyle w:val="TableContents"/>
              <w:spacing w:before="0" w:after="283"/>
              <w:rPr>
                <w:sz w:val="4"/>
                <w:szCs w:val="4"/>
              </w:rPr>
            </w:pPr>
            <w:r>
              <w:rPr>
                <w:sz w:val="4"/>
                <w:szCs w:val="4"/>
              </w:rPr>
            </w:r>
          </w:p>
        </w:tc>
        <w:tc>
          <w:tcPr>
            <w:tcW w:w="129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lease liabilities</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32,626 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32,528 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current liabilities</w:t>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1,321,721 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1,243,151 </w:t>
            </w:r>
          </w:p>
        </w:tc>
        <w:tc>
          <w:tcPr>
            <w:tcW w:w="1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Long-term debt due after one year</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1,209,169 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1,224,151 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lease liabilities</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150,536 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155,196 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Retirement obligations and other liabilities</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314,626 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309,529 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Contingencies (See Note 10)</w:t>
            </w:r>
          </w:p>
        </w:tc>
        <w:tc>
          <w:tcPr>
            <w:tcW w:w="129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Shareholders’ equity:</w:t>
            </w:r>
          </w:p>
        </w:tc>
        <w:tc>
          <w:tcPr>
            <w:tcW w:w="129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Common shares, $1.25 par value</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220,991 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220,991 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Shares authorized – 305,000</w:t>
            </w:r>
          </w:p>
        </w:tc>
        <w:tc>
          <w:tcPr>
            <w:tcW w:w="129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Shares issued – 176,793 and 176,793, respectively</w:t>
            </w:r>
          </w:p>
        </w:tc>
        <w:tc>
          <w:tcPr>
            <w:tcW w:w="129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Capital in excess of par value</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492,147 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507,484 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Retained earnings</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3,774,379 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3,774,209 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Treasury shares, at cost – 45,922 and 46,359 shares, respectively</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(2,016,517)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(2,036,882)</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Deferred compensation obligation</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6,852 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6,979 </w:t>
            </w:r>
          </w:p>
        </w:tc>
        <w:tc>
          <w:tcPr>
            <w:tcW w:w="1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Accumulated other comprehensive loss</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(631,534)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(647,788)</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Flowserve Corporation shareholders’ equity</w:t>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1,846,318 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1,824,993 </w:t>
            </w:r>
          </w:p>
        </w:tc>
        <w:tc>
          <w:tcPr>
            <w:tcW w:w="1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Noncontrolling interests</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33,379 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33,614 </w:t>
            </w:r>
          </w:p>
        </w:tc>
        <w:tc>
          <w:tcPr>
            <w:tcW w:w="1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equity</w:t>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1,879,697 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1,858,607 </w:t>
            </w:r>
          </w:p>
        </w:tc>
        <w:tc>
          <w:tcPr>
            <w:tcW w:w="15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liabilities and equity</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4,875,749 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4,790,634 </w:t>
            </w:r>
          </w:p>
        </w:tc>
        <w:tc>
          <w:tcPr>
            <w:tcW w:w="15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See accompanying notes to condensed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6480175" cy="351155"/>
                <wp:effectExtent l="0" t="0" r="0" b="0"/>
                <wp:wrapNone/>
                <wp:docPr id="5" name="Frame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FLOWSERVE CORPORATION</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CONDENSED CONSOLIDATED STATEMENTS OF SHAREHOLDERS’ EQUITY</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(Unaudited)</w:t>
      </w:r>
    </w:p>
    <w:tbl>
      <w:tblPr>
        <w:tblW w:w="13481" w:type="dxa"/>
        <w:jc w:val="center"/>
        <w:tblInd w:w="0" w:type="dxa"/>
        <w:tblCellMar>
          <w:top w:w="28" w:type="dxa"/>
          <w:left w:w="28" w:type="dxa"/>
          <w:bottom w:w="28" w:type="dxa"/>
          <w:right w:w="28" w:type="dxa"/>
        </w:tblCellMar>
      </w:tblPr>
      <w:tblGrid>
        <w:gridCol w:w="473"/>
        <w:gridCol w:w="416"/>
        <w:gridCol w:w="417"/>
        <w:gridCol w:w="308"/>
        <w:gridCol w:w="308"/>
        <w:gridCol w:w="171"/>
        <w:gridCol w:w="109"/>
        <w:gridCol w:w="109"/>
        <w:gridCol w:w="109"/>
        <w:gridCol w:w="181"/>
        <w:gridCol w:w="616"/>
        <w:gridCol w:w="109"/>
        <w:gridCol w:w="109"/>
        <w:gridCol w:w="109"/>
        <w:gridCol w:w="109"/>
        <w:gridCol w:w="181"/>
        <w:gridCol w:w="616"/>
        <w:gridCol w:w="109"/>
        <w:gridCol w:w="109"/>
        <w:gridCol w:w="109"/>
        <w:gridCol w:w="109"/>
        <w:gridCol w:w="181"/>
        <w:gridCol w:w="721"/>
        <w:gridCol w:w="109"/>
        <w:gridCol w:w="109"/>
        <w:gridCol w:w="109"/>
        <w:gridCol w:w="109"/>
        <w:gridCol w:w="278"/>
        <w:gridCol w:w="278"/>
        <w:gridCol w:w="171"/>
        <w:gridCol w:w="109"/>
        <w:gridCol w:w="109"/>
        <w:gridCol w:w="109"/>
        <w:gridCol w:w="181"/>
        <w:gridCol w:w="736"/>
        <w:gridCol w:w="109"/>
        <w:gridCol w:w="109"/>
        <w:gridCol w:w="109"/>
        <w:gridCol w:w="109"/>
        <w:gridCol w:w="230"/>
        <w:gridCol w:w="592"/>
        <w:gridCol w:w="139"/>
        <w:gridCol w:w="109"/>
        <w:gridCol w:w="109"/>
        <w:gridCol w:w="109"/>
        <w:gridCol w:w="200"/>
        <w:gridCol w:w="699"/>
        <w:gridCol w:w="122"/>
        <w:gridCol w:w="109"/>
        <w:gridCol w:w="109"/>
        <w:gridCol w:w="109"/>
        <w:gridCol w:w="181"/>
        <w:gridCol w:w="541"/>
        <w:gridCol w:w="109"/>
        <w:gridCol w:w="109"/>
        <w:gridCol w:w="109"/>
        <w:gridCol w:w="109"/>
        <w:gridCol w:w="181"/>
        <w:gridCol w:w="721"/>
        <w:gridCol w:w="154"/>
      </w:tblGrid>
      <w:tr>
        <w:trPr/>
        <w:tc>
          <w:tcPr>
            <w:tcW w:w="473"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73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592"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699"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54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c>
          <w:tcPr>
            <w:tcW w:w="9634" w:type="dxa"/>
            <w:gridSpan w:val="45"/>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Total Flowserve Corporation Shareholders’ Equity</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8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vMerge w:val="restart"/>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Capital</w:t>
              <w:br/>
              <w:t>in Excess of Par Value</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11" w:type="dxa"/>
            <w:gridSpan w:val="3"/>
            <w:vMerge w:val="restart"/>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Retained Earnings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2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61" w:type="dxa"/>
            <w:gridSpan w:val="3"/>
            <w:vMerge w:val="restart"/>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Deferred Compensation Obligation</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21" w:type="dxa"/>
            <w:gridSpan w:val="3"/>
            <w:vMerge w:val="restart"/>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Accumulated</w:t>
              <w:br/>
              <w:t>Other Comprehensive Income (Loss)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6" w:type="dxa"/>
            <w:gridSpan w:val="3"/>
            <w:vMerge w:val="restart"/>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Total Equity</w:t>
            </w:r>
          </w:p>
        </w:tc>
      </w:tr>
      <w:tr>
        <w:trPr/>
        <w:tc>
          <w:tcPr>
            <w:tcW w:w="130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020"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Common Stock</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1"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80"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Treasury Stock</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61"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21"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1" w:type="dxa"/>
            <w:gridSpan w:val="3"/>
            <w:vMerge w:val="restart"/>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Non-</w:t>
              <w:br/>
              <w:t>controlling Interests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6" w:type="dxa"/>
            <w:gridSpan w:val="3"/>
            <w:vMerge w:val="continue"/>
            <w:tcBorders>
              <w:bottom w:val="single" w:sz="8" w:space="0" w:color="000000"/>
            </w:tcBorders>
            <w:shd w:fill="auto" w:val="clear"/>
            <w:tcMar>
              <w:top w:w="0" w:type="dxa"/>
              <w:left w:w="0" w:type="dxa"/>
              <w:bottom w:w="30" w:type="dxa"/>
              <w:right w:w="0" w:type="dxa"/>
            </w:tcMar>
            <w:vAlign w:val="center"/>
          </w:tcPr>
          <w:p>
            <w:pPr>
              <w:pStyle w:val="Normal"/>
              <w:rPr/>
            </w:pPr>
            <w:r>
              <w:rPr/>
            </w:r>
          </w:p>
        </w:tc>
      </w:tr>
      <w:tr>
        <w:trPr/>
        <w:tc>
          <w:tcPr>
            <w:tcW w:w="130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78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Shares</w:t>
            </w:r>
          </w:p>
        </w:tc>
        <w:tc>
          <w:tcPr>
            <w:tcW w:w="327" w:type="dxa"/>
            <w:gridSpan w:val="3"/>
            <w:tcBorders>
              <w:top w:val="single" w:sz="8" w:space="0" w:color="000000"/>
              <w:bottom w:val="sing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906" w:type="dxa"/>
            <w:gridSpan w:val="3"/>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Amount</w:t>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906"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1011"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727" w:type="dxa"/>
            <w:gridSpan w:val="3"/>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Shares</w:t>
            </w:r>
          </w:p>
        </w:tc>
        <w:tc>
          <w:tcPr>
            <w:tcW w:w="327" w:type="dxa"/>
            <w:gridSpan w:val="3"/>
            <w:tcBorders>
              <w:top w:val="single" w:sz="8" w:space="0" w:color="000000"/>
              <w:bottom w:val="sing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1026" w:type="dxa"/>
            <w:gridSpan w:val="3"/>
            <w:tcBorders>
              <w:top w:val="single" w:sz="8" w:space="0" w:color="000000"/>
              <w:bottom w:val="single" w:sz="8" w:space="0" w:color="000000"/>
            </w:tcBorders>
            <w:shd w:fill="auto" w:val="clear"/>
            <w:tcMar>
              <w:top w:w="3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Amount</w:t>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961"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1021" w:type="dxa"/>
            <w:gridSpan w:val="3"/>
            <w:vMerge w:val="continue"/>
            <w:tcBorders>
              <w:top w:val="single" w:sz="8" w:space="0" w:color="000000"/>
              <w:bottom w:val="single" w:sz="8" w:space="0" w:color="000000"/>
            </w:tcBorders>
            <w:shd w:fill="auto" w:val="clear"/>
            <w:tcMar>
              <w:top w:w="30" w:type="dxa"/>
              <w:left w:w="0" w:type="dxa"/>
              <w:bottom w:w="30" w:type="dxa"/>
              <w:right w:w="0" w:type="dxa"/>
            </w:tcMar>
            <w:vAlign w:val="center"/>
          </w:tcPr>
          <w:p>
            <w:pPr>
              <w:pStyle w:val="Normal"/>
              <w:rPr/>
            </w:pPr>
            <w:r>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831" w:type="dxa"/>
            <w:gridSpan w:val="3"/>
            <w:vMerge w:val="continue"/>
            <w:tcBorders>
              <w:bottom w:val="single" w:sz="8" w:space="0" w:color="000000"/>
            </w:tcBorders>
            <w:shd w:fill="auto" w:val="clear"/>
            <w:tcMar>
              <w:top w:w="0" w:type="dxa"/>
              <w:left w:w="0" w:type="dxa"/>
              <w:bottom w:w="30" w:type="dxa"/>
              <w:right w:w="0" w:type="dxa"/>
            </w:tcMar>
            <w:vAlign w:val="center"/>
          </w:tcPr>
          <w:p>
            <w:pPr>
              <w:pStyle w:val="Normal"/>
              <w:rPr/>
            </w:pPr>
            <w:r>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1056" w:type="dxa"/>
            <w:gridSpan w:val="3"/>
            <w:vMerge w:val="continue"/>
            <w:tcBorders>
              <w:bottom w:val="single" w:sz="8" w:space="0" w:color="000000"/>
            </w:tcBorders>
            <w:shd w:fill="auto" w:val="clear"/>
            <w:tcMar>
              <w:top w:w="0" w:type="dxa"/>
              <w:left w:w="0" w:type="dxa"/>
              <w:bottom w:w="30" w:type="dxa"/>
              <w:right w:w="0" w:type="dxa"/>
            </w:tcMar>
            <w:vAlign w:val="center"/>
          </w:tcPr>
          <w:p>
            <w:pPr>
              <w:pStyle w:val="Normal"/>
              <w:rPr/>
            </w:pPr>
            <w:r>
              <w:rPr/>
            </w:r>
          </w:p>
        </w:tc>
      </w:tr>
      <w:tr>
        <w:trPr/>
        <w:tc>
          <w:tcPr>
            <w:tcW w:w="130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c>
          <w:tcPr>
            <w:tcW w:w="12175" w:type="dxa"/>
            <w:gridSpan w:val="57"/>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(Amounts in thousands)</w:t>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Balance — January 1, 2023</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176,793 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220,991 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507,484 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3,774,209 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(46,359)</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3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(2,036,882)</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9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6,979 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(647,788)</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4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33,614 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1,858,607 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Stock activity under stock plans</w:t>
            </w:r>
          </w:p>
        </w:tc>
        <w:tc>
          <w:tcPr>
            <w:tcW w:w="6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(25,290)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437 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20,365 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(127)</w:t>
            </w:r>
          </w:p>
        </w:tc>
        <w:tc>
          <w:tcPr>
            <w:tcW w:w="1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(5,052)</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Stock-based compensation</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9,953 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9,953 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Net earnings</w:t>
            </w:r>
          </w:p>
        </w:tc>
        <w:tc>
          <w:tcPr>
            <w:tcW w:w="6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26,766 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3,230 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29,996 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14"/>
              </w:rPr>
            </w:pPr>
            <w:r>
              <w:rPr>
                <w:rFonts w:ascii="Times New Roman;sans-serif" w:hAnsi="Times New Roman;sans-serif"/>
                <w:b w:val="false"/>
                <w:color w:val="000000"/>
                <w:sz w:val="14"/>
              </w:rPr>
              <w:t>Cash dividends declared ($0.20 per share)</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(26,596)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(26,596)</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Other comprehensive income (loss), net of tax</w:t>
            </w:r>
          </w:p>
        </w:tc>
        <w:tc>
          <w:tcPr>
            <w:tcW w:w="6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16,254 </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(3,161)</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13,093 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Other, net</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(304)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(304)</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Balance — March 31, 2023</w:t>
            </w:r>
          </w:p>
        </w:tc>
        <w:tc>
          <w:tcPr>
            <w:tcW w:w="61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176,793 </w:t>
            </w:r>
          </w:p>
        </w:tc>
        <w:tc>
          <w:tcPr>
            <w:tcW w:w="17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220,991 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492,147 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3,774,379 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(45,922)</w:t>
            </w:r>
          </w:p>
        </w:tc>
        <w:tc>
          <w:tcPr>
            <w:tcW w:w="17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3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(2,016,517)</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92"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6,852 </w:t>
            </w:r>
          </w:p>
        </w:tc>
        <w:tc>
          <w:tcPr>
            <w:tcW w:w="13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0"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9"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(631,534)</w:t>
            </w:r>
          </w:p>
        </w:tc>
        <w:tc>
          <w:tcPr>
            <w:tcW w:w="122"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4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33,379 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1,879,697 </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8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2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6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2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Balance — January 1, 2022</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176,793 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220,991 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506,386 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3,691,023 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(46,794)</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3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(2,057,706)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9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7,214 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(563,589)</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4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33,026 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1,837,345 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Stock activity under stock plans</w:t>
            </w:r>
          </w:p>
        </w:tc>
        <w:tc>
          <w:tcPr>
            <w:tcW w:w="6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(21,246)</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370 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17,806 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(92)</w:t>
            </w:r>
          </w:p>
        </w:tc>
        <w:tc>
          <w:tcPr>
            <w:tcW w:w="1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(3,532)</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Stock-based compensation</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11,011 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11,011 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Net loss</w:t>
            </w:r>
          </w:p>
        </w:tc>
        <w:tc>
          <w:tcPr>
            <w:tcW w:w="6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(15,820)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2,141 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(13,679)</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14"/>
              </w:rPr>
            </w:pPr>
            <w:r>
              <w:rPr>
                <w:rFonts w:ascii="Times New Roman;sans-serif" w:hAnsi="Times New Roman;sans-serif"/>
                <w:b w:val="false"/>
                <w:color w:val="000000"/>
                <w:sz w:val="14"/>
              </w:rPr>
              <w:t>Cash dividends declared ($0.20 per share)</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(26,525)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(26,525)</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Other comprehensive income (loss), net of tax</w:t>
            </w:r>
          </w:p>
        </w:tc>
        <w:tc>
          <w:tcPr>
            <w:tcW w:w="6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(14,464)</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1,336 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(13,128)</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56" w:type="dxa"/>
            <w:gridSpan w:val="3"/>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Other, net</w:t>
            </w:r>
          </w:p>
        </w:tc>
        <w:tc>
          <w:tcPr>
            <w:tcW w:w="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(437)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(437)</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Balance — March 31, 2022</w:t>
            </w:r>
          </w:p>
        </w:tc>
        <w:tc>
          <w:tcPr>
            <w:tcW w:w="616" w:type="dxa"/>
            <w:gridSpan w:val="2"/>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176,793 </w:t>
            </w:r>
          </w:p>
        </w:tc>
        <w:tc>
          <w:tcPr>
            <w:tcW w:w="17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220,991 </w:t>
            </w:r>
          </w:p>
        </w:tc>
        <w:tc>
          <w:tcPr>
            <w:tcW w:w="10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16"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496,151 </w:t>
            </w:r>
          </w:p>
        </w:tc>
        <w:tc>
          <w:tcPr>
            <w:tcW w:w="10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3,648,678 </w:t>
            </w:r>
          </w:p>
        </w:tc>
        <w:tc>
          <w:tcPr>
            <w:tcW w:w="10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6" w:type="dxa"/>
            <w:gridSpan w:val="2"/>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(46,424)</w:t>
            </w:r>
          </w:p>
        </w:tc>
        <w:tc>
          <w:tcPr>
            <w:tcW w:w="17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36"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(2,039,900)</w:t>
            </w:r>
          </w:p>
        </w:tc>
        <w:tc>
          <w:tcPr>
            <w:tcW w:w="10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92"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7,122 </w:t>
            </w:r>
          </w:p>
        </w:tc>
        <w:tc>
          <w:tcPr>
            <w:tcW w:w="13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0"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(578,053)</w:t>
            </w:r>
          </w:p>
        </w:tc>
        <w:tc>
          <w:tcPr>
            <w:tcW w:w="122"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54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36,066 </w:t>
            </w:r>
          </w:p>
        </w:tc>
        <w:tc>
          <w:tcPr>
            <w:tcW w:w="109"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721"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1,791,055 </w:t>
            </w:r>
          </w:p>
        </w:tc>
        <w:tc>
          <w:tcPr>
            <w:tcW w:w="154" w:type="dxa"/>
            <w:tcBorders>
              <w:top w:val="single" w:sz="8" w:space="0" w:color="000000"/>
              <w:bottom w:val="sing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r>
        <w:trPr/>
        <w:tc>
          <w:tcPr>
            <w:tcW w:w="13481" w:type="dxa"/>
            <w:gridSpan w:val="60"/>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See accompanying notes to condensed consolidated financial statements.</w:t>
            </w:r>
          </w:p>
        </w:tc>
      </w:tr>
    </w:tbl>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7">
                <wp:simplePos x="0" y="0"/>
                <wp:positionH relativeFrom="character">
                  <wp:align>left</wp:align>
                </wp:positionH>
                <wp:positionV relativeFrom="line">
                  <wp:posOffset>635</wp:posOffset>
                </wp:positionV>
                <wp:extent cx="6480175" cy="351155"/>
                <wp:effectExtent l="0" t="0" r="0" b="0"/>
                <wp:wrapNone/>
                <wp:docPr id="6" name="Frame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FLOWSERVE CORPORATION</w:t>
      </w:r>
    </w:p>
    <w:p>
      <w:pPr>
        <w:pStyle w:val="TextBody"/>
        <w:spacing w:lineRule="auto" w:line="288" w:before="140" w:after="283"/>
        <w:jc w:val="center"/>
        <w:rPr>
          <w:rFonts w:ascii="Times New Roman;sans-serif" w:hAnsi="Times New Roman;sans-serif"/>
          <w:b/>
          <w:color w:val="000000"/>
          <w:sz w:val="20"/>
        </w:rPr>
      </w:pPr>
      <w:r>
        <w:rPr>
          <w:rFonts w:ascii="Times New Roman;sans-serif" w:hAnsi="Times New Roman;sans-serif"/>
          <w:b/>
          <w:color w:val="000000"/>
          <w:sz w:val="20"/>
        </w:rPr>
        <w:t>CONDENSED CONSOLIDATED STATEMENTS OF CASH FLOWS</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(Unaudited)</w:t>
      </w:r>
    </w:p>
    <w:tbl>
      <w:tblPr>
        <w:tblW w:w="10205" w:type="dxa"/>
        <w:jc w:val="center"/>
        <w:tblInd w:w="0" w:type="dxa"/>
        <w:tblCellMar>
          <w:top w:w="28" w:type="dxa"/>
          <w:left w:w="28" w:type="dxa"/>
          <w:bottom w:w="28" w:type="dxa"/>
          <w:right w:w="28" w:type="dxa"/>
        </w:tblCellMar>
      </w:tblPr>
      <w:tblGrid>
        <w:gridCol w:w="2700"/>
        <w:gridCol w:w="2338"/>
        <w:gridCol w:w="2344"/>
        <w:gridCol w:w="223"/>
        <w:gridCol w:w="875"/>
        <w:gridCol w:w="115"/>
        <w:gridCol w:w="115"/>
        <w:gridCol w:w="115"/>
        <w:gridCol w:w="115"/>
        <w:gridCol w:w="223"/>
        <w:gridCol w:w="875"/>
        <w:gridCol w:w="167"/>
      </w:tblGrid>
      <w:tr>
        <w:trPr/>
        <w:tc>
          <w:tcPr>
            <w:tcW w:w="2700" w:type="dxa"/>
            <w:tcBorders/>
            <w:shd w:fill="auto" w:val="clear"/>
            <w:vAlign w:val="center"/>
          </w:tcPr>
          <w:p>
            <w:pPr>
              <w:pStyle w:val="TableContents"/>
              <w:spacing w:before="0" w:after="283"/>
              <w:rPr>
                <w:sz w:val="4"/>
                <w:szCs w:val="4"/>
              </w:rPr>
            </w:pPr>
            <w:r>
              <w:rPr>
                <w:sz w:val="4"/>
                <w:szCs w:val="4"/>
              </w:rPr>
            </w:r>
          </w:p>
        </w:tc>
        <w:tc>
          <w:tcPr>
            <w:tcW w:w="2338" w:type="dxa"/>
            <w:tcBorders/>
            <w:shd w:fill="auto" w:val="clear"/>
            <w:vAlign w:val="center"/>
          </w:tcPr>
          <w:p>
            <w:pPr>
              <w:pStyle w:val="TableContents"/>
              <w:spacing w:before="0" w:after="283"/>
              <w:rPr>
                <w:sz w:val="4"/>
                <w:szCs w:val="4"/>
              </w:rPr>
            </w:pPr>
            <w:r>
              <w:rPr>
                <w:sz w:val="4"/>
                <w:szCs w:val="4"/>
              </w:rPr>
            </w:r>
          </w:p>
        </w:tc>
        <w:tc>
          <w:tcPr>
            <w:tcW w:w="2344"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87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center"/>
          </w:tcPr>
          <w:p>
            <w:pPr>
              <w:pStyle w:val="TableContents"/>
              <w:spacing w:before="0" w:after="283"/>
              <w:rPr>
                <w:sz w:val="4"/>
                <w:szCs w:val="4"/>
              </w:rPr>
            </w:pPr>
            <w:r>
              <w:rPr>
                <w:sz w:val="4"/>
                <w:szCs w:val="4"/>
              </w:rPr>
            </w:r>
          </w:p>
        </w:tc>
        <w:tc>
          <w:tcPr>
            <w:tcW w:w="875"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282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738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21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4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Cash flows – Operating activities:</w:t>
            </w:r>
          </w:p>
        </w:tc>
        <w:tc>
          <w:tcPr>
            <w:tcW w:w="121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earnings (loss), including noncontrolling interests</w:t>
            </w:r>
          </w:p>
        </w:tc>
        <w:tc>
          <w:tcPr>
            <w:tcW w:w="223"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5"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29,996 </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3"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5"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(13,679)</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Adjustments to reconcile net earnings (loss) to net cash provided (used) by operating activities:</w:t>
            </w:r>
          </w:p>
        </w:tc>
        <w:tc>
          <w:tcPr>
            <w:tcW w:w="121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Depreciation</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18,928 </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20,148 </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Amortization of intangible and other assets</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2,663 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3,396 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Stock-based compensation</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9,953 </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11,011 </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Foreign currency, asset write downs and other non-cash adjustments </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(2,728)</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6,893 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Change in assets and liabilities:</w:t>
            </w:r>
          </w:p>
        </w:tc>
        <w:tc>
          <w:tcPr>
            <w:tcW w:w="1213"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Accounts receivable, net</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(26,249)</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5,039 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Inventories, net</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(70,721)</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(48,715)</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Contract assets, net</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4,325 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(5,655)</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Prepaid expenses and other, net</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(16,019)</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(33,197)</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Accounts payable</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7,008 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8,204 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Contract liabilities</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32,676 </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2,600 </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Accrued liabilities and income taxes payable</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35,374 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7,302 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Retirement obligations and other liabilities</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9,477 </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10,912 </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Net deferred taxes </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(8,095)</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(1,032)</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cash flows provided (used) by operating activities</w:t>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26,588 </w:t>
            </w:r>
          </w:p>
        </w:tc>
        <w:tc>
          <w:tcPr>
            <w:tcW w:w="11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(26,773)</w:t>
            </w:r>
          </w:p>
        </w:tc>
        <w:tc>
          <w:tcPr>
            <w:tcW w:w="16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Cash flows – Investing activities:</w:t>
            </w:r>
          </w:p>
        </w:tc>
        <w:tc>
          <w:tcPr>
            <w:tcW w:w="121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Capital expenditures</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(15,318)</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(14,052)</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(1,138)</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1,834 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cash flows provided (used) by investing activities</w:t>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(16,456)</w:t>
            </w:r>
          </w:p>
        </w:tc>
        <w:tc>
          <w:tcPr>
            <w:tcW w:w="11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(12,218)</w:t>
            </w:r>
          </w:p>
        </w:tc>
        <w:tc>
          <w:tcPr>
            <w:tcW w:w="16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Cash flows – Financing activities:</w:t>
            </w:r>
          </w:p>
        </w:tc>
        <w:tc>
          <w:tcPr>
            <w:tcW w:w="121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Payments on term loan</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(10,000)</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(7,593)</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Proceeds under other financing arrangements</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555 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Payments under other financing arrangements</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(1,515)</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(484)</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auto" w:val="clear"/>
            <w:vAlign w:val="center"/>
          </w:tcPr>
          <w:p>
            <w:pPr>
              <w:pStyle w:val="TableContents"/>
              <w:spacing w:before="0" w:after="283"/>
              <w:rPr>
                <w:sz w:val="4"/>
                <w:szCs w:val="4"/>
              </w:rPr>
            </w:pPr>
            <w:r>
              <w:rPr>
                <w:sz w:val="4"/>
                <w:szCs w:val="4"/>
              </w:rPr>
            </w:r>
          </w:p>
        </w:tc>
        <w:tc>
          <w:tcPr>
            <w:tcW w:w="1213"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265" w:type="dxa"/>
            <w:gridSpan w:val="3"/>
            <w:tcBorders/>
            <w:shd w:fill="auto" w:val="cle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Payments related to tax withholding for stock-based compensation</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(5,850)</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(4,304)</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Payments of dividends</w:t>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(26,229)</w:t>
            </w:r>
          </w:p>
        </w:tc>
        <w:tc>
          <w:tcPr>
            <w:tcW w:w="11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(26,128)</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(303)</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(437)</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cash flows provided (used) by financing activities</w:t>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(43,819)</w:t>
            </w:r>
          </w:p>
        </w:tc>
        <w:tc>
          <w:tcPr>
            <w:tcW w:w="11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(38,391)</w:t>
            </w:r>
          </w:p>
        </w:tc>
        <w:tc>
          <w:tcPr>
            <w:tcW w:w="16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Effect of exchange rate changes on cash</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3,442 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(5,275)</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change in cash and cash equivalents</w:t>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(30,245)</w:t>
            </w:r>
          </w:p>
        </w:tc>
        <w:tc>
          <w:tcPr>
            <w:tcW w:w="11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(82,657)</w:t>
            </w:r>
          </w:p>
        </w:tc>
        <w:tc>
          <w:tcPr>
            <w:tcW w:w="16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and cash equivalents at beginning of period</w:t>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434,971 </w:t>
            </w:r>
          </w:p>
        </w:tc>
        <w:tc>
          <w:tcPr>
            <w:tcW w:w="11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658,452 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38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and cash equivalents at end of period</w:t>
            </w:r>
          </w:p>
        </w:tc>
        <w:tc>
          <w:tcPr>
            <w:tcW w:w="22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404,726 </w:t>
            </w:r>
          </w:p>
        </w:tc>
        <w:tc>
          <w:tcPr>
            <w:tcW w:w="11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7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575,795 </w:t>
            </w:r>
          </w:p>
        </w:tc>
        <w:tc>
          <w:tcPr>
            <w:tcW w:w="167"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8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See accompanying notes to condensed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8">
                <wp:simplePos x="0" y="0"/>
                <wp:positionH relativeFrom="character">
                  <wp:align>left</wp:align>
                </wp:positionH>
                <wp:positionV relativeFrom="line">
                  <wp:posOffset>635</wp:posOffset>
                </wp:positionV>
                <wp:extent cx="6480175" cy="351155"/>
                <wp:effectExtent l="0" t="0" r="0" b="0"/>
                <wp:wrapNone/>
                <wp:docPr id="7" name="Frame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FLOWSERVE CORPORATION</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(Unaudited)</w:t>
      </w:r>
    </w:p>
    <w:p>
      <w:pPr>
        <w:pStyle w:val="TextBody"/>
        <w:spacing w:lineRule="auto" w:line="288" w:before="120" w:after="283"/>
        <w:rPr>
          <w:rFonts w:ascii="Times New Roman;sans-serif" w:hAnsi="Times New Roman;sans-serif"/>
          <w:b/>
          <w:color w:val="000000"/>
          <w:sz w:val="20"/>
        </w:rPr>
      </w:pPr>
      <w:r>
        <w:rPr>
          <w:rFonts w:ascii="Times New Roman;sans-serif" w:hAnsi="Times New Roman;sans-serif"/>
          <w:b/>
          <w:color w:val="000000"/>
          <w:sz w:val="20"/>
        </w:rPr>
        <w:t>NOTES TO CONDENSED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1.Basis of Presentation and Accounting Policies</w:t>
      </w:r>
    </w:p>
    <w:p>
      <w:pPr>
        <w:pStyle w:val="TextBody"/>
        <w:spacing w:lineRule="auto" w:line="288" w:before="120" w:after="283"/>
        <w:rPr>
          <w:rFonts w:ascii="Times New Roman;sans-serif" w:hAnsi="Times New Roman;sans-serif"/>
          <w:b/>
          <w:color w:val="000000"/>
          <w:sz w:val="20"/>
        </w:rPr>
      </w:pPr>
      <w:r>
        <w:rPr>
          <w:rFonts w:ascii="Times New Roman;sans-serif" w:hAnsi="Times New Roman;sans-serif"/>
          <w:b/>
          <w:color w:val="000000"/>
          <w:sz w:val="20"/>
        </w:rPr>
        <w:t xml:space="preserve">Basis of Presentation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accompanying condensed consolidated balance sheet as of March 31, 2023 and December 31, 2022, and the related condensed consolidated statements of income, condensed consolidated statements of comprehensive income (loss), condensed consolidated statements of shareholders' equity for the three months ended March 31, 2023 and 2022 and condensed consolidated statements of cash flows for the three months ended March 31, 2023 and 2022 of Flowserve Corporation are unaudited. In management’s opinion, all adjustments comprising normal recurring adjustments necessary for fair statement of such condensed consolidated financial statements have been made. Prior period information has been updated to conform to current year presentation.</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accompanying condensed consolidated financial statements and notes in this Quarterly Report on Form 10-Q for the quarterly period ended March 31, 2023 ("Quarterly Report") are presented as permitted by Regulation S-X and do not contain certain information included in our annual financial statements and notes thereto. Accordingly, the accompanying condensed consolidated financial information should be read in conjunction with the audited consolidated financial statements presented in our Annual Report on Form 10-K for the year ended December 31, 2022 ("2022 Annual Report"). </w:t>
      </w:r>
    </w:p>
    <w:p>
      <w:pPr>
        <w:pStyle w:val="TextBody"/>
        <w:spacing w:lineRule="auto" w:line="288" w:before="120" w:after="283"/>
        <w:ind w:left="0" w:right="0" w:firstLine="360"/>
        <w:jc w:val="both"/>
        <w:rPr/>
      </w:pPr>
      <w:r>
        <w:rPr>
          <w:rFonts w:ascii="Times New Roman;sans-serif" w:hAnsi="Times New Roman;sans-serif"/>
          <w:b w:val="false"/>
          <w:i/>
          <w:color w:val="000000"/>
          <w:sz w:val="20"/>
          <w:highlight w:val="white"/>
        </w:rPr>
        <w:t xml:space="preserve">Coronavirus ("COVID-19") </w:t>
      </w:r>
      <w:r>
        <w:rPr>
          <w:rFonts w:ascii="Times New Roman;sans-serif" w:hAnsi="Times New Roman;sans-serif"/>
          <w:b w:val="false"/>
          <w:color w:val="000000"/>
          <w:sz w:val="20"/>
          <w:highlight w:val="white"/>
        </w:rPr>
        <w:t xml:space="preserve">- </w:t>
      </w:r>
      <w:r>
        <w:rPr>
          <w:rFonts w:ascii="Times New Roman;sans-serif" w:hAnsi="Times New Roman;sans-serif"/>
          <w:b w:val="false"/>
          <w:color w:val="000000"/>
          <w:sz w:val="20"/>
        </w:rPr>
        <w:t>We continue to assess and proactively respond to the impacts of COVID-19 on all aspects of our business and geographies, including with respect to our associates, customers and communities, supply chain impacts and labor availability issues, and to take appropriate actions in an effort to mitigate adverse effects of the pandemic. During the first quarter of 2023, COVID-related impacts subsided when compared to 2022; however, we still expect the combined effects of the supply chain, logistics and labor availability headwinds to continue in 2023. The Company's condensed consolidated financial statements presented reflect management's estimates and assumptions regarding the effects of COVID-19 as of the date of the condensed consolidated financial statements.</w:t>
      </w:r>
    </w:p>
    <w:p>
      <w:pPr>
        <w:pStyle w:val="TextBody"/>
        <w:spacing w:lineRule="auto" w:line="288" w:before="120" w:after="283"/>
        <w:ind w:left="0" w:right="0" w:firstLine="360"/>
        <w:jc w:val="both"/>
        <w:rPr/>
      </w:pPr>
      <w:r>
        <w:rPr>
          <w:rFonts w:ascii="Times New Roman;sans-serif" w:hAnsi="Times New Roman;sans-serif"/>
          <w:b w:val="false"/>
          <w:i/>
          <w:color w:val="000000"/>
          <w:sz w:val="20"/>
        </w:rPr>
        <w:t xml:space="preserve">Russia and Ukraine Conflict - </w:t>
      </w:r>
      <w:r>
        <w:rPr>
          <w:rFonts w:ascii="Times New Roman;sans-serif" w:hAnsi="Times New Roman;sans-serif"/>
          <w:b w:val="false"/>
          <w:color w:val="000000"/>
          <w:sz w:val="20"/>
        </w:rPr>
        <w:t>In response to the ongoing military conflict in Ukraine, several countries, including the United States, have imposed economic sanctions and export controls on certain industry sectors and parties in Russia. As a result of this conflict, including the aforementioned sanctions and overall instability in the region, in February 2022 we stopped accepting new orders in Russia and temporarily suspended fulfillment of existing orders. In March 2022, we made the decision to permanently cease all Company operations in Russia. We have substantially completed the necessary actions to cease operations of our Russian subsidiary, including taking steps to cancel existing contracts with customers and terminate our approximately 50 Russia-based employees and terminate other related contractual commitments. As a result of the conflict and the resulting macroeconomic impacts we have also experienced supply shortages and inflationary pressures.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 the first quarter of 2022, we recorded a $20.2 million pre-tax charge ($21.0 million after-tax) to reserve the asset positions of our Russian subsidiary (excluding cash) as of March 31, 2022, to record contra-revenue for previously recognized revenue and estimated cancellation fees on open contracts that were previously accounted for under POC and subsequently canceled, to establish a reserve for the estimated cost to exit the operations of our Russian subsidiary and to record a reserve for our estimated financial exposure on contracts that have or anticipated to be canceled. </w:t>
      </w:r>
    </w:p>
    <w:p>
      <w:pPr>
        <w:pStyle w:val="TextBody"/>
        <w:spacing w:lineRule="auto" w:line="288" w:before="120" w:after="283"/>
        <w:ind w:left="0" w:right="0" w:firstLine="360"/>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the above impacts of the Russia pre-tax charge in the first quarter of 2022:</w:t>
      </w:r>
    </w:p>
    <w:tbl>
      <w:tblPr>
        <w:tblW w:w="10205" w:type="dxa"/>
        <w:jc w:val="left"/>
        <w:tblInd w:w="0" w:type="dxa"/>
        <w:tblCellMar>
          <w:top w:w="28" w:type="dxa"/>
          <w:left w:w="28" w:type="dxa"/>
          <w:bottom w:w="28" w:type="dxa"/>
          <w:right w:w="28" w:type="dxa"/>
        </w:tblCellMar>
      </w:tblPr>
      <w:tblGrid>
        <w:gridCol w:w="1313"/>
        <w:gridCol w:w="1055"/>
        <w:gridCol w:w="1062"/>
        <w:gridCol w:w="109"/>
        <w:gridCol w:w="109"/>
        <w:gridCol w:w="188"/>
        <w:gridCol w:w="188"/>
        <w:gridCol w:w="188"/>
        <w:gridCol w:w="188"/>
        <w:gridCol w:w="365"/>
        <w:gridCol w:w="1358"/>
        <w:gridCol w:w="188"/>
        <w:gridCol w:w="109"/>
        <w:gridCol w:w="109"/>
        <w:gridCol w:w="109"/>
        <w:gridCol w:w="345"/>
        <w:gridCol w:w="1112"/>
        <w:gridCol w:w="178"/>
        <w:gridCol w:w="109"/>
        <w:gridCol w:w="109"/>
        <w:gridCol w:w="109"/>
        <w:gridCol w:w="305"/>
        <w:gridCol w:w="1068"/>
        <w:gridCol w:w="232"/>
      </w:tblGrid>
      <w:tr>
        <w:trPr/>
        <w:tc>
          <w:tcPr>
            <w:tcW w:w="1313" w:type="dxa"/>
            <w:tcBorders/>
            <w:shd w:fill="auto" w:val="clear"/>
            <w:vAlign w:val="center"/>
          </w:tcPr>
          <w:p>
            <w:pPr>
              <w:pStyle w:val="TableContents"/>
              <w:spacing w:before="0" w:after="283"/>
              <w:rPr>
                <w:sz w:val="4"/>
                <w:szCs w:val="4"/>
              </w:rPr>
            </w:pPr>
            <w:r>
              <w:rPr>
                <w:sz w:val="4"/>
                <w:szCs w:val="4"/>
              </w:rPr>
            </w:r>
          </w:p>
        </w:tc>
        <w:tc>
          <w:tcPr>
            <w:tcW w:w="1055" w:type="dxa"/>
            <w:tcBorders/>
            <w:shd w:fill="auto" w:val="clear"/>
            <w:vAlign w:val="center"/>
          </w:tcPr>
          <w:p>
            <w:pPr>
              <w:pStyle w:val="TableContents"/>
              <w:spacing w:before="0" w:after="283"/>
              <w:rPr>
                <w:sz w:val="4"/>
                <w:szCs w:val="4"/>
              </w:rPr>
            </w:pPr>
            <w:r>
              <w:rPr>
                <w:sz w:val="4"/>
                <w:szCs w:val="4"/>
              </w:rPr>
            </w:r>
          </w:p>
        </w:tc>
        <w:tc>
          <w:tcPr>
            <w:tcW w:w="106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c>
          <w:tcPr>
            <w:tcW w:w="135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center"/>
          </w:tcPr>
          <w:p>
            <w:pPr>
              <w:pStyle w:val="TableContents"/>
              <w:spacing w:before="0" w:after="283"/>
              <w:rPr>
                <w:sz w:val="4"/>
                <w:szCs w:val="4"/>
              </w:rPr>
            </w:pPr>
            <w:r>
              <w:rPr>
                <w:sz w:val="4"/>
                <w:szCs w:val="4"/>
              </w:rPr>
            </w:r>
          </w:p>
        </w:tc>
        <w:tc>
          <w:tcPr>
            <w:tcW w:w="1112"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r>
      <w:tr>
        <w:trPr/>
        <w:tc>
          <w:tcPr>
            <w:tcW w:w="34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63" w:type="dxa"/>
            <w:gridSpan w:val="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c>
          <w:tcPr>
            <w:tcW w:w="3894" w:type="dxa"/>
            <w:gridSpan w:val="12"/>
            <w:tcBorders/>
            <w:shd w:fill="auto" w:val="clear"/>
          </w:tcPr>
          <w:p>
            <w:pPr>
              <w:pStyle w:val="TableContents"/>
              <w:spacing w:before="0" w:after="283"/>
              <w:rPr>
                <w:sz w:val="4"/>
                <w:szCs w:val="4"/>
              </w:rPr>
            </w:pPr>
            <w:r>
              <w:rPr>
                <w:sz w:val="4"/>
                <w:szCs w:val="4"/>
              </w:rPr>
            </w:r>
          </w:p>
        </w:tc>
      </w:tr>
      <w:tr>
        <w:trPr/>
        <w:tc>
          <w:tcPr>
            <w:tcW w:w="343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thousands)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91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Flowserve Pump Division</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63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Flow Control Division</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60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34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36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35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(5,429)</w:t>
            </w:r>
          </w:p>
        </w:tc>
        <w:tc>
          <w:tcPr>
            <w:tcW w:w="18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1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w:t>
            </w:r>
          </w:p>
        </w:tc>
        <w:tc>
          <w:tcPr>
            <w:tcW w:w="17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(5,431)</w:t>
            </w:r>
          </w:p>
        </w:tc>
        <w:tc>
          <w:tcPr>
            <w:tcW w:w="23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3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Cost of sales ("COS")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72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3,510 </w:t>
            </w:r>
          </w:p>
        </w:tc>
        <w:tc>
          <w:tcPr>
            <w:tcW w:w="18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1,112 </w:t>
            </w:r>
          </w:p>
        </w:tc>
        <w:tc>
          <w:tcPr>
            <w:tcW w:w="17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7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4,622 </w:t>
            </w:r>
          </w:p>
        </w:tc>
        <w:tc>
          <w:tcPr>
            <w:tcW w:w="23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loss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72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(8,939)</w:t>
            </w:r>
          </w:p>
        </w:tc>
        <w:tc>
          <w:tcPr>
            <w:tcW w:w="18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(1,114)</w:t>
            </w:r>
          </w:p>
        </w:tc>
        <w:tc>
          <w:tcPr>
            <w:tcW w:w="17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7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(10,053)</w:t>
            </w:r>
          </w:p>
        </w:tc>
        <w:tc>
          <w:tcPr>
            <w:tcW w:w="23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3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Selling, general and administrative expense ("SG&amp;A")</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72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9,111 </w:t>
            </w:r>
          </w:p>
        </w:tc>
        <w:tc>
          <w:tcPr>
            <w:tcW w:w="18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1,082 </w:t>
            </w:r>
          </w:p>
        </w:tc>
        <w:tc>
          <w:tcPr>
            <w:tcW w:w="17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7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10,193 </w:t>
            </w:r>
          </w:p>
        </w:tc>
        <w:tc>
          <w:tcPr>
            <w:tcW w:w="23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loss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36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35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(18,050)</w:t>
            </w:r>
          </w:p>
        </w:tc>
        <w:tc>
          <w:tcPr>
            <w:tcW w:w="18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1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(2,196)</w:t>
            </w:r>
          </w:p>
        </w:tc>
        <w:tc>
          <w:tcPr>
            <w:tcW w:w="17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(20,246)</w:t>
            </w:r>
          </w:p>
        </w:tc>
        <w:tc>
          <w:tcPr>
            <w:tcW w:w="23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 addition, we reevaluated our financial exposure as of December 31, 2022 and recorded an incremental $13.6 million pre-tax charge ($9.8 million after-tax) in the fourth quarter of 2022 for additional contract cancellation fees, to reserve our residual financial exposure due to increased Russia sanctions imposed during the latter part of 2022 and our decision to cancel backlog as a result of the additional sanctions. We continue to monitor the situation involving Russia and Ukraine and its impact on the rest of our global business. This includes the macroeconomic impact, including with respect to global supply chain issues and </w:t>
      </w:r>
    </w:p>
    <w:p>
      <w:pPr>
        <w:pStyle w:val="HorizontalLine"/>
        <w:rPr/>
      </w:pPr>
      <w:r>
        <w:rPr/>
      </w:r>
      <w:r>
        <mc:AlternateContent>
          <mc:Choice Requires="wps">
            <w:drawing>
              <wp:anchor behindDoc="0" distT="0" distB="0" distL="0" distR="0" simplePos="0" locked="0" layoutInCell="1" allowOverlap="1" relativeHeight="9">
                <wp:simplePos x="0" y="0"/>
                <wp:positionH relativeFrom="character">
                  <wp:align>left</wp:align>
                </wp:positionH>
                <wp:positionV relativeFrom="line">
                  <wp:posOffset>635</wp:posOffset>
                </wp:positionV>
                <wp:extent cx="6480175" cy="351155"/>
                <wp:effectExtent l="0" t="0" r="0" b="0"/>
                <wp:wrapNone/>
                <wp:docPr id="8" name="Frame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inflationary pressures. To date, these impacts have not been material to our business and we do not currently expect that any incremental impact in future quarters, including any financial impacts caused by our cancellation of customer contracts and ceasing of operations in Russia, will be material to the Company.</w:t>
      </w:r>
    </w:p>
    <w:p>
      <w:pPr>
        <w:pStyle w:val="TextBody"/>
        <w:spacing w:lineRule="auto" w:line="288" w:before="140" w:after="100"/>
        <w:ind w:left="0" w:right="0" w:firstLine="495"/>
        <w:jc w:val="both"/>
        <w:rPr/>
      </w:pPr>
      <w:r>
        <w:rPr>
          <w:rFonts w:ascii="Times New Roman;sans-serif" w:hAnsi="Times New Roman;sans-serif"/>
          <w:b w:val="false"/>
          <w:i/>
          <w:color w:val="000000"/>
          <w:sz w:val="20"/>
        </w:rPr>
        <w:t>Acquisition</w:t>
      </w:r>
      <w:r>
        <w:rPr>
          <w:color w:val="000000"/>
        </w:rPr>
        <w:t xml:space="preserve"> — </w:t>
      </w:r>
      <w:r>
        <w:rPr>
          <w:rFonts w:ascii="Times New Roman;sans-serif" w:hAnsi="Times New Roman;sans-serif"/>
          <w:b w:val="false"/>
          <w:color w:val="000000"/>
          <w:sz w:val="20"/>
        </w:rPr>
        <w:t xml:space="preserve">On February 9, 2023 the Company entered into a definitive agreement under which it will acquire all of the outstanding equity of Velan Inc., a manufacturer of highly engineered industrial valves, in an all cash transaction valued at approximately $245 million. The transaction is subject to customary closing conditions, including applicable regulatory approvals and target shareholder approval, and is currently expected to close in the third quarter of 2023. </w:t>
      </w:r>
    </w:p>
    <w:p>
      <w:pPr>
        <w:pStyle w:val="TextBody"/>
        <w:spacing w:lineRule="auto" w:line="288" w:before="120" w:after="100"/>
        <w:rPr>
          <w:rFonts w:ascii="Times New Roman;sans-serif" w:hAnsi="Times New Roman;sans-serif"/>
          <w:b/>
          <w:color w:val="000000"/>
          <w:sz w:val="20"/>
        </w:rPr>
      </w:pPr>
      <w:r>
        <w:rPr>
          <w:rFonts w:ascii="Times New Roman;sans-serif" w:hAnsi="Times New Roman;sans-serif"/>
          <w:b/>
          <w:color w:val="000000"/>
          <w:sz w:val="20"/>
        </w:rPr>
        <w:t>Accounting Developments</w:t>
      </w:r>
    </w:p>
    <w:p>
      <w:pPr>
        <w:pStyle w:val="TextBody"/>
        <w:spacing w:lineRule="auto" w:line="288" w:before="140" w:after="283"/>
        <w:ind w:left="0" w:right="0" w:firstLine="495"/>
        <w:jc w:val="both"/>
        <w:rPr>
          <w:rFonts w:ascii="Times New Roman;sans-serif" w:hAnsi="Times New Roman;sans-serif"/>
          <w:b/>
          <w:i/>
          <w:color w:val="000000"/>
          <w:sz w:val="20"/>
        </w:rPr>
      </w:pPr>
      <w:r>
        <w:rPr>
          <w:rFonts w:ascii="Times New Roman;sans-serif" w:hAnsi="Times New Roman;sans-serif"/>
          <w:b/>
          <w:i/>
          <w:color w:val="000000"/>
          <w:sz w:val="20"/>
        </w:rPr>
        <w:t>Pronouncements Implemented</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October 2021, the FASB issued ASU No. 2021-08, "Accounting for Contract Assets and Contract Liabilities from Contracts with Customers." The amendments in this ASU improve comparability for both the recognition and measurement of acquired revenue contracts with customers at the date of and after a business combination. The amendments are effective for fiscal years beginning after December 15, 2022, including interim periods within those fiscal years and should be applied prospectively to business combinations occurring on or after the effective date of the amendments. The adoption of this ASU did not have a material impact on our condensed consolidated balance sheets, condensed consolidated statements of income or condensed consolidated statements of cash flows.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 September 2022, the FASB issued ASU No. 2022-04, "Liabilities—Supplier Finance Programs (Subtopic 405-50): Disclosure of Supplier Finance Program Obligations." The amendments require a buyer that uses supplier finance programs to make annual disclosures about the program’s key terms, the balance sheet presentation of related amounts, the confirmed amount outstanding at the end of the period and associated roll-forward information. Only the amount outstanding at the end of the period must be disclosed in interim periods following the year of adoption. The amendments are effective for all entities for fiscal years beginning after December 15, 2022 on a retrospective basis, including interim periods within those fiscal years, except for the requirement to disclose roll-forward information, which is effective prospectively for fiscal years beginning after December 15, 2023.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We adopted ASU No. 2022-04 effective January 1, 2023. Flowserve partners with two banks to offer our suppliers the option of participating in a supplier financing program and receive payment early. Under the program agreement, Flowserve must reimburse each bank for approved and valid invoices in accordance with the originally agreed upon terms with the supplier. Flowserve has no obligation for fees; subscription, service, commissions or otherwise with either bank. Flowserve also has no obligation for pledged assets or other forms of guarantee and may terminate either program agreement with appropriate notice. As of March 31, 2023, $9.2 million remained outstanding with the supply chain financing partner banks and recorded within accounts payable on our condensed consolidated balance sheet. </w:t>
      </w:r>
    </w:p>
    <w:p>
      <w:pPr>
        <w:pStyle w:val="TextBody"/>
        <w:spacing w:lineRule="auto" w:line="288" w:before="120" w:after="283"/>
        <w:ind w:left="0" w:right="0" w:firstLine="360"/>
        <w:jc w:val="both"/>
        <w:rPr>
          <w:rFonts w:ascii="Times New Roman;sans-serif" w:hAnsi="Times New Roman;sans-serif"/>
          <w:b/>
          <w:i/>
          <w:color w:val="000000"/>
          <w:sz w:val="20"/>
        </w:rPr>
      </w:pPr>
      <w:r>
        <w:rPr>
          <w:rFonts w:ascii="Times New Roman;sans-serif" w:hAnsi="Times New Roman;sans-serif"/>
          <w:b/>
          <w:i/>
          <w:color w:val="000000"/>
          <w:sz w:val="20"/>
        </w:rPr>
        <w:t>Pronouncements Not Yet Implemented</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March 2023, the FASB issued ASU No. 2023-01, "Leases (Topic 842): Common Control Arrangements." The amendments permits leasehold improvements to be amortized over the useful life of the asset when the lessee controls the use of the underlying asset and the lease is between common control entities. The amendments further allow entities to account for leasehold improvements as a transfer of assets between entities under common control through an equity adjustment when the lessee is no longer in control of the underlying asset. The amendments are effective for fiscal years beginning after December 15, 2023, including interim periods within those fiscal years. We do not expect the impact of this ASU to be material.</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March 2023, the FASB issued ASU No. 2023-02, "Equity Method and Joint Ventures (Topic 323): Accounting for Investments in Tax Credit Structures Using the Proportional Amortization Method." The amendments allow companies to account for all of their tax equity investments using the proportional amortization method if certain conditions are met. Companies can elect to apply the proportional amortization method on a tax-credit-program-by-tax-credit-program rather than unilaterally or on an individual investment basis. The amendments are effective on either a modified retrospective or retrospective basis for fiscal years beginning after December 15, 2023, including interim periods within those fiscal years, depending on whether the company elects to evaluate its investments for which it still expects to receive income tax credits or other income tax benefits as of the beginning of the period of adoption or at the beginning of the earliest period presented. We do not expect the impact of this ASU to be material.</w:t>
      </w:r>
    </w:p>
    <w:p>
      <w:pPr>
        <w:pStyle w:val="TextBody"/>
        <w:spacing w:before="120" w:after="283"/>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0">
                <wp:simplePos x="0" y="0"/>
                <wp:positionH relativeFrom="character">
                  <wp:align>left</wp:align>
                </wp:positionH>
                <wp:positionV relativeFrom="line">
                  <wp:posOffset>635</wp:posOffset>
                </wp:positionV>
                <wp:extent cx="6480175" cy="351155"/>
                <wp:effectExtent l="0" t="0" r="0" b="0"/>
                <wp:wrapNone/>
                <wp:docPr id="9" name="Frame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6</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 xml:space="preserve">2.Revenue Recognition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majority of our revenues relate to customer orders that typically contain a single commitment of goods or services which have lead times under a year. Longer lead time, more complex contracts with our customers typically have multiple commitments of goods and services, including any combination of designing, developing, manufacturing, modifying, installing and commissioning of flow management equipment and providing services and parts related to the performance of such products. Control transfers over time when the customer is able to direct the use of and obtain substantially all of the benefits of our work as we perform. Service-related revenues do not typically represent a significant portion of contracts with our customers and do not meet the thresholds requiring separate disclosure. </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Our primary method for recognizing revenue over time is the </w:t>
      </w:r>
      <w:r>
        <w:rPr>
          <w:rFonts w:ascii="Times New Roman;sans-serif" w:hAnsi="Times New Roman;sans-serif"/>
          <w:b w:val="false"/>
          <w:color w:val="000000"/>
          <w:sz w:val="20"/>
          <w:highlight w:val="white"/>
        </w:rPr>
        <w:t>POC method. Revenue from products and services transferred to customers over time accounted for approximatel</w:t>
      </w:r>
      <w:r>
        <w:rPr>
          <w:rFonts w:ascii="Times New Roman;sans-serif" w:hAnsi="Times New Roman;sans-serif"/>
          <w:b w:val="false"/>
          <w:color w:val="000000"/>
          <w:sz w:val="20"/>
        </w:rPr>
        <w:t>y 14% and 12% of total revenue for the three month period ended March 31, 2023 and 2022, respectively. If control does not transfer over time, then control transfers at a point in time. We recognize revenue at a point in time at the level of each performance obligation based on the evaluation of certain indicators of control transfer, such as title transfer, risk of loss transfer, customer acceptance and physical possession. Revenue from products and services transferred to customers at a point in time accounted for approximately 86% and 88% of total revenue for the three month period ended March 31, 2023 and 2022, respectively. Refer to Note 2 to our consolidated financial statements included in our 2022 Annual Report for a more comprehensive discussion of our policies and accounting practices of revenue recognition.</w:t>
      </w:r>
    </w:p>
    <w:p>
      <w:pPr>
        <w:pStyle w:val="TextBody"/>
        <w:spacing w:lineRule="auto" w:line="288" w:before="180" w:after="120"/>
        <w:ind w:left="0" w:right="0" w:firstLine="360"/>
        <w:rPr>
          <w:rFonts w:ascii="Times New Roman;sans-serif" w:hAnsi="Times New Roman;sans-serif"/>
          <w:b/>
          <w:i/>
          <w:color w:val="000000"/>
          <w:sz w:val="20"/>
        </w:rPr>
      </w:pPr>
      <w:r>
        <w:rPr>
          <w:rFonts w:ascii="Times New Roman;sans-serif" w:hAnsi="Times New Roman;sans-serif"/>
          <w:b/>
          <w:i/>
          <w:color w:val="000000"/>
          <w:sz w:val="20"/>
        </w:rPr>
        <w:t>Disaggregated Revenue</w:t>
      </w:r>
    </w:p>
    <w:p>
      <w:pPr>
        <w:pStyle w:val="TextBody"/>
        <w:spacing w:lineRule="auto" w:line="288" w:before="10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conduct our operations through two business segments based on the type of product and how we manage the business:</w:t>
      </w:r>
    </w:p>
    <w:p>
      <w:pPr>
        <w:pStyle w:val="TextBody"/>
        <w:spacing w:lineRule="auto" w:line="288" w:before="100" w:after="100"/>
        <w:ind w:left="0" w:right="0" w:hanging="360"/>
        <w:jc w:val="both"/>
        <w:rPr/>
      </w:pPr>
      <w:r>
        <w:rPr>
          <w:color w:val="000000"/>
        </w:rPr>
        <w:t>•</w:t>
      </w:r>
      <w:r>
        <w:rPr>
          <w:rFonts w:ascii="Times New Roman;sans-serif" w:hAnsi="Times New Roman;sans-serif"/>
          <w:b w:val="false"/>
          <w:color w:val="000000"/>
          <w:sz w:val="20"/>
        </w:rPr>
        <w:t xml:space="preserve">Flowserve Pump Division ("FPD") designs and manufactures custom, highly-engineered pumps, pre-configured industrial pumps, pump systems, mechanical seals, auxiliary systems and replacement parts and related services; and </w:t>
      </w:r>
    </w:p>
    <w:p>
      <w:pPr>
        <w:pStyle w:val="TextBody"/>
        <w:spacing w:lineRule="auto" w:line="288" w:before="100" w:after="100"/>
        <w:ind w:left="0" w:right="0" w:hanging="360"/>
        <w:jc w:val="both"/>
        <w:rPr/>
      </w:pPr>
      <w:r>
        <w:rPr>
          <w:color w:val="000000"/>
        </w:rPr>
        <w:t>•</w:t>
      </w:r>
      <w:r>
        <w:rPr>
          <w:rFonts w:ascii="Times New Roman;sans-serif" w:hAnsi="Times New Roman;sans-serif"/>
          <w:b w:val="false"/>
          <w:color w:val="000000"/>
          <w:sz w:val="20"/>
        </w:rPr>
        <w:t>Flow Control Division ("FCD") designs, manufactures and distributes a broad portfolio of engineered-to-order and configured-to-order isolation valves, control valves, valve automation products and related equipment.</w:t>
      </w:r>
    </w:p>
    <w:p>
      <w:pPr>
        <w:pStyle w:val="TextBody"/>
        <w:spacing w:lineRule="auto" w:line="288" w:before="10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Our revenue sources are derived from our original equipment manufacturing and our aftermarket sales and services. Our original equipment revenues are generally related to originally designed, manufactured, distributed and installed equipment that can range from pre-configured, short-cycle products to more customized, highly-engineered equipment ("Original Equipment"). Our aftermarket sales and services are derived from sales of replacement equipment, as well as maintenance, advanced diagnostic, repair and retrofitting services ("Aftermarket"). Each of our two business segments generate Original Equipment and Aftermarket revenues. </w:t>
      </w:r>
    </w:p>
    <w:p>
      <w:pPr>
        <w:pStyle w:val="TextBody"/>
        <w:spacing w:lineRule="auto" w:line="288" w:before="100" w:after="100"/>
        <w:ind w:left="0" w:right="0" w:firstLine="360"/>
        <w:rPr>
          <w:rFonts w:ascii="Times New Roman;sans-serif" w:hAnsi="Times New Roman;sans-serif"/>
          <w:b w:val="false"/>
          <w:color w:val="000000"/>
          <w:sz w:val="20"/>
        </w:rPr>
      </w:pPr>
      <w:r>
        <w:rPr>
          <w:rFonts w:ascii="Times New Roman;sans-serif" w:hAnsi="Times New Roman;sans-serif"/>
          <w:b w:val="false"/>
          <w:color w:val="000000"/>
          <w:sz w:val="20"/>
        </w:rPr>
        <w:t>The following tables present our customer revenues disaggregated by revenue source:</w:t>
      </w:r>
    </w:p>
    <w:tbl>
      <w:tblPr>
        <w:tblW w:w="5922" w:type="dxa"/>
        <w:jc w:val="left"/>
        <w:tblInd w:w="0" w:type="dxa"/>
        <w:tblCellMar>
          <w:top w:w="28" w:type="dxa"/>
          <w:left w:w="28" w:type="dxa"/>
          <w:bottom w:w="28" w:type="dxa"/>
          <w:right w:w="28" w:type="dxa"/>
        </w:tblCellMar>
      </w:tblPr>
      <w:tblGrid>
        <w:gridCol w:w="647"/>
        <w:gridCol w:w="568"/>
        <w:gridCol w:w="570"/>
        <w:gridCol w:w="211"/>
        <w:gridCol w:w="826"/>
        <w:gridCol w:w="109"/>
        <w:gridCol w:w="109"/>
        <w:gridCol w:w="109"/>
        <w:gridCol w:w="109"/>
        <w:gridCol w:w="211"/>
        <w:gridCol w:w="826"/>
        <w:gridCol w:w="109"/>
        <w:gridCol w:w="109"/>
        <w:gridCol w:w="109"/>
        <w:gridCol w:w="109"/>
        <w:gridCol w:w="211"/>
        <w:gridCol w:w="826"/>
        <w:gridCol w:w="154"/>
      </w:tblGrid>
      <w:tr>
        <w:trPr/>
        <w:tc>
          <w:tcPr>
            <w:tcW w:w="647" w:type="dxa"/>
            <w:tcBorders/>
            <w:shd w:fill="auto" w:val="clear"/>
            <w:vAlign w:val="center"/>
          </w:tcPr>
          <w:p>
            <w:pPr>
              <w:pStyle w:val="TableContents"/>
              <w:spacing w:before="0" w:after="283"/>
              <w:rPr>
                <w:sz w:val="4"/>
                <w:szCs w:val="4"/>
              </w:rPr>
            </w:pPr>
            <w:r>
              <w:rPr>
                <w:sz w:val="4"/>
                <w:szCs w:val="4"/>
              </w:rPr>
            </w:r>
          </w:p>
        </w:tc>
        <w:tc>
          <w:tcPr>
            <w:tcW w:w="568" w:type="dxa"/>
            <w:tcBorders/>
            <w:shd w:fill="auto" w:val="clear"/>
            <w:vAlign w:val="center"/>
          </w:tcPr>
          <w:p>
            <w:pPr>
              <w:pStyle w:val="TableContents"/>
              <w:spacing w:before="0" w:after="283"/>
              <w:rPr>
                <w:sz w:val="4"/>
                <w:szCs w:val="4"/>
              </w:rPr>
            </w:pPr>
            <w:r>
              <w:rPr>
                <w:sz w:val="4"/>
                <w:szCs w:val="4"/>
              </w:rPr>
            </w:r>
          </w:p>
        </w:tc>
        <w:tc>
          <w:tcPr>
            <w:tcW w:w="570"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37"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17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178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Original Equipment</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252,732 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210,753 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463,485 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78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Aftermarket</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446,746 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70,074 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516,820 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78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699,478 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280,827 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980,305 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7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1"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7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37"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r>
      <w:tr>
        <w:trPr/>
        <w:tc>
          <w:tcPr>
            <w:tcW w:w="17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178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Original Equipment</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200,340 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182,842 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383,182 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78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Aftermarket</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373,646 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64,230 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437,876 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78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573,986 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247,072 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821,058 </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HorizontalLine"/>
        <w:rPr/>
      </w:pPr>
      <w:r>
        <w:rPr/>
      </w:r>
      <w:r>
        <mc:AlternateContent>
          <mc:Choice Requires="wps">
            <w:drawing>
              <wp:anchor behindDoc="0" distT="0" distB="0" distL="0" distR="0" simplePos="0" locked="0" layoutInCell="1" allowOverlap="1" relativeHeight="11">
                <wp:simplePos x="0" y="0"/>
                <wp:positionH relativeFrom="character">
                  <wp:align>left</wp:align>
                </wp:positionH>
                <wp:positionV relativeFrom="line">
                  <wp:posOffset>635</wp:posOffset>
                </wp:positionV>
                <wp:extent cx="6480175" cy="351155"/>
                <wp:effectExtent l="0" t="0" r="0" b="0"/>
                <wp:wrapNone/>
                <wp:docPr id="10" name="Frame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7</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tbl>
      <w:tblPr>
        <w:tblW w:w="932"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81" w:type="dxa"/>
            <w:gridSpan w:val="4"/>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81" w:type="dxa"/>
            <w:gridSpan w:val="4"/>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24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Our customer sales are diversified geographically. The following tables present our revenues disaggregated by geography, based on the shipping addresses of our customers: </w:t>
      </w:r>
    </w:p>
    <w:tbl>
      <w:tblPr>
        <w:tblW w:w="6176" w:type="dxa"/>
        <w:jc w:val="left"/>
        <w:tblInd w:w="0" w:type="dxa"/>
        <w:tblCellMar>
          <w:top w:w="28" w:type="dxa"/>
          <w:left w:w="28" w:type="dxa"/>
          <w:bottom w:w="28" w:type="dxa"/>
          <w:right w:w="28" w:type="dxa"/>
        </w:tblCellMar>
      </w:tblPr>
      <w:tblGrid>
        <w:gridCol w:w="739"/>
        <w:gridCol w:w="649"/>
        <w:gridCol w:w="651"/>
        <w:gridCol w:w="211"/>
        <w:gridCol w:w="826"/>
        <w:gridCol w:w="109"/>
        <w:gridCol w:w="109"/>
        <w:gridCol w:w="109"/>
        <w:gridCol w:w="109"/>
        <w:gridCol w:w="211"/>
        <w:gridCol w:w="826"/>
        <w:gridCol w:w="109"/>
        <w:gridCol w:w="109"/>
        <w:gridCol w:w="109"/>
        <w:gridCol w:w="109"/>
        <w:gridCol w:w="211"/>
        <w:gridCol w:w="826"/>
        <w:gridCol w:w="154"/>
      </w:tblGrid>
      <w:tr>
        <w:trPr/>
        <w:tc>
          <w:tcPr>
            <w:tcW w:w="739" w:type="dxa"/>
            <w:tcBorders/>
            <w:shd w:fill="auto" w:val="clear"/>
            <w:vAlign w:val="center"/>
          </w:tcPr>
          <w:p>
            <w:pPr>
              <w:pStyle w:val="TableContents"/>
              <w:spacing w:before="0" w:after="283"/>
              <w:rPr>
                <w:sz w:val="4"/>
                <w:szCs w:val="4"/>
              </w:rPr>
            </w:pPr>
            <w:r>
              <w:rPr>
                <w:sz w:val="4"/>
                <w:szCs w:val="4"/>
              </w:rPr>
            </w:r>
          </w:p>
        </w:tc>
        <w:tc>
          <w:tcPr>
            <w:tcW w:w="649" w:type="dxa"/>
            <w:tcBorders/>
            <w:shd w:fill="auto" w:val="clear"/>
            <w:vAlign w:val="center"/>
          </w:tcPr>
          <w:p>
            <w:pPr>
              <w:pStyle w:val="TableContents"/>
              <w:spacing w:before="0" w:after="283"/>
              <w:rPr>
                <w:sz w:val="4"/>
                <w:szCs w:val="4"/>
              </w:rPr>
            </w:pPr>
            <w:r>
              <w:rPr>
                <w:sz w:val="4"/>
                <w:szCs w:val="4"/>
              </w:rPr>
            </w:r>
          </w:p>
        </w:tc>
        <w:tc>
          <w:tcPr>
            <w:tcW w:w="65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0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37"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20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2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North America(1)</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282,272 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125,681 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407,953 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Latin America(2)</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63,989 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7,863 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71,852 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Middle East and Africa </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114,370 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28,401 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142,771 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Asia Pacific</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113,371 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67,828 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181,199 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Europe</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125,476 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51,054 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176,530 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699,478 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280,827 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980,305 </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1"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37"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r>
      <w:tr>
        <w:trPr/>
        <w:tc>
          <w:tcPr>
            <w:tcW w:w="20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2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North America(1)</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238,710 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107,634 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346,344 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Latin America(2)</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47,619 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5,550 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53,169 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Middle East and Africa</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71,701 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21,351 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93,052 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Asia Pacific</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101,599 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67,793 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169,392 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Europe</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114,357 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44,744 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159,101 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573,986 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247,072 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821,058 </w:t>
            </w:r>
          </w:p>
        </w:tc>
        <w:tc>
          <w:tcPr>
            <w:tcW w:w="15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tbl>
      <w:tblPr>
        <w:tblW w:w="932"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81" w:type="dxa"/>
            <w:gridSpan w:val="4"/>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81" w:type="dxa"/>
            <w:gridSpan w:val="4"/>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40" w:before="0" w:after="0"/>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__________________________________</w:t>
      </w:r>
    </w:p>
    <w:p>
      <w:pPr>
        <w:pStyle w:val="TextBody"/>
        <w:spacing w:lineRule="auto" w:line="288" w:before="0" w:after="0"/>
        <w:ind w:left="0" w:right="0" w:hanging="360"/>
        <w:rPr>
          <w:rFonts w:ascii="Times New Roman;sans-serif" w:hAnsi="Times New Roman;sans-serif"/>
          <w:b w:val="false"/>
          <w:color w:val="000000"/>
          <w:sz w:val="20"/>
        </w:rPr>
      </w:pPr>
      <w:r>
        <w:rPr>
          <w:rFonts w:ascii="Times New Roman;sans-serif" w:hAnsi="Times New Roman;sans-serif"/>
          <w:b w:val="false"/>
          <w:color w:val="000000"/>
          <w:sz w:val="20"/>
        </w:rPr>
        <w:t xml:space="preserve">(1) North America represents the United States and Canada. </w:t>
      </w:r>
    </w:p>
    <w:p>
      <w:pPr>
        <w:pStyle w:val="TextBody"/>
        <w:spacing w:lineRule="auto" w:line="288" w:before="0" w:after="0"/>
        <w:ind w:left="0" w:right="0" w:hanging="360"/>
        <w:rPr>
          <w:rFonts w:ascii="Times New Roman;sans-serif" w:hAnsi="Times New Roman;sans-serif"/>
          <w:b w:val="false"/>
          <w:color w:val="000000"/>
          <w:sz w:val="20"/>
        </w:rPr>
      </w:pPr>
      <w:r>
        <w:rPr>
          <w:rFonts w:ascii="Times New Roman;sans-serif" w:hAnsi="Times New Roman;sans-serif"/>
          <w:b w:val="false"/>
          <w:color w:val="000000"/>
          <w:sz w:val="20"/>
        </w:rPr>
        <w:t>(2) Latin America includes Mexico.</w:t>
      </w:r>
    </w:p>
    <w:p>
      <w:pPr>
        <w:pStyle w:val="TextBody"/>
        <w:spacing w:before="0" w:after="0"/>
        <w:ind w:left="0" w:right="0" w:firstLine="360"/>
        <w:jc w:val="both"/>
        <w:rPr/>
      </w:pPr>
      <w:r>
        <w:rPr/>
      </w:r>
    </w:p>
    <w:p>
      <w:pPr>
        <w:pStyle w:val="TextBody"/>
        <w:spacing w:lineRule="auto" w:line="288" w:before="0" w:after="0"/>
        <w:ind w:left="0" w:right="0" w:firstLine="360"/>
        <w:jc w:val="both"/>
        <w:rPr/>
      </w:pPr>
      <w:r>
        <w:rPr>
          <w:rFonts w:ascii="Times New Roman;sans-serif" w:hAnsi="Times New Roman;sans-serif"/>
          <w:b w:val="false"/>
          <w:color w:val="000000"/>
          <w:sz w:val="20"/>
        </w:rPr>
        <w:t>On March 31, 2023, the aggregate transaction price allocated to unsatisfied (or partially unsatisfied) performance obligations was approximately $733 million. We estimate recognition of approximately $358 million of this amount as revenue in the remainder of 2023 and an additional $375 million in 2024 and thereaft</w:t>
      </w:r>
      <w:r>
        <w:rPr>
          <w:rFonts w:ascii="Times New Roman;sans-serif" w:hAnsi="Times New Roman;sans-serif"/>
          <w:b w:val="false"/>
          <w:color w:val="000000"/>
          <w:sz w:val="20"/>
          <w:highlight w:val="white"/>
        </w:rPr>
        <w:t xml:space="preserve">er. </w:t>
      </w:r>
    </w:p>
    <w:p>
      <w:pPr>
        <w:pStyle w:val="TextBody"/>
        <w:spacing w:lineRule="auto" w:line="288" w:before="120" w:after="283"/>
        <w:ind w:left="0" w:right="0" w:firstLine="360"/>
        <w:jc w:val="both"/>
        <w:rPr/>
      </w:pPr>
      <w:r>
        <w:rPr>
          <w:rFonts w:ascii="Times New Roman;sans-serif" w:hAnsi="Times New Roman;sans-serif"/>
          <w:b/>
          <w:i/>
          <w:color w:val="000000"/>
          <w:sz w:val="20"/>
        </w:rPr>
        <w:t>Contract Balances</w:t>
      </w:r>
      <w:r>
        <w:rPr>
          <w:color w:val="000000"/>
        </w:rPr>
        <w:t xml:space="preserve">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We receive payment from customers based on a contractual billing schedule and specific performance requirements as established in our contracts. We record billings as accounts receivable when an unconditional right to consideration exists. A contract asset represents revenue recognized in advance of our right to receive payment under the terms of a contract. A contract liability represents our right to receive payment in advance of revenue recognized for a contract. </w:t>
      </w:r>
    </w:p>
    <w:p>
      <w:pPr>
        <w:pStyle w:val="TextBody"/>
        <w:spacing w:before="0" w:after="0"/>
        <w:ind w:left="0" w:right="0" w:firstLine="360"/>
        <w:jc w:val="both"/>
        <w:rPr/>
      </w:pPr>
      <w:r>
        <w:rPr/>
      </w:r>
    </w:p>
    <w:p>
      <w:pPr>
        <w:pStyle w:val="HorizontalLine"/>
        <w:rPr/>
      </w:pPr>
      <w:r>
        <w:rPr/>
      </w:r>
      <w:r>
        <mc:AlternateContent>
          <mc:Choice Requires="wps">
            <w:drawing>
              <wp:anchor behindDoc="0" distT="0" distB="0" distL="0" distR="0" simplePos="0" locked="0" layoutInCell="1" allowOverlap="1" relativeHeight="12">
                <wp:simplePos x="0" y="0"/>
                <wp:positionH relativeFrom="character">
                  <wp:align>left</wp:align>
                </wp:positionH>
                <wp:positionV relativeFrom="line">
                  <wp:posOffset>635</wp:posOffset>
                </wp:positionV>
                <wp:extent cx="6480175" cy="351155"/>
                <wp:effectExtent l="0" t="0" r="0" b="0"/>
                <wp:wrapNone/>
                <wp:docPr id="11" name="Frame1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8</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0" w:after="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following tables present beginning and ending balances of contract assets and contract liabilities, current and long-term, for the three months ended March 31, 2023 and 2022: </w:t>
      </w:r>
    </w:p>
    <w:p>
      <w:pPr>
        <w:pStyle w:val="TextBody"/>
        <w:spacing w:before="0" w:after="0"/>
        <w:jc w:val="both"/>
        <w:rPr/>
      </w:pPr>
      <w:r>
        <w:rPr/>
      </w:r>
    </w:p>
    <w:tbl>
      <w:tblPr>
        <w:tblW w:w="10205" w:type="dxa"/>
        <w:jc w:val="left"/>
        <w:tblInd w:w="0" w:type="dxa"/>
        <w:tblCellMar>
          <w:top w:w="28" w:type="dxa"/>
          <w:left w:w="28" w:type="dxa"/>
          <w:bottom w:w="28" w:type="dxa"/>
          <w:right w:w="28" w:type="dxa"/>
        </w:tblCellMar>
      </w:tblPr>
      <w:tblGrid>
        <w:gridCol w:w="1130"/>
        <w:gridCol w:w="849"/>
        <w:gridCol w:w="852"/>
        <w:gridCol w:w="285"/>
        <w:gridCol w:w="1118"/>
        <w:gridCol w:w="147"/>
        <w:gridCol w:w="109"/>
        <w:gridCol w:w="109"/>
        <w:gridCol w:w="109"/>
        <w:gridCol w:w="418"/>
        <w:gridCol w:w="923"/>
        <w:gridCol w:w="216"/>
        <w:gridCol w:w="109"/>
        <w:gridCol w:w="109"/>
        <w:gridCol w:w="109"/>
        <w:gridCol w:w="286"/>
        <w:gridCol w:w="1121"/>
        <w:gridCol w:w="147"/>
        <w:gridCol w:w="109"/>
        <w:gridCol w:w="109"/>
        <w:gridCol w:w="109"/>
        <w:gridCol w:w="353"/>
        <w:gridCol w:w="1034"/>
        <w:gridCol w:w="185"/>
        <w:gridCol w:w="160"/>
      </w:tblGrid>
      <w:tr>
        <w:trPr/>
        <w:tc>
          <w:tcPr>
            <w:tcW w:w="1130"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852"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118"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18" w:type="dxa"/>
            <w:tcBorders/>
            <w:shd w:fill="auto" w:val="clear"/>
            <w:vAlign w:val="center"/>
          </w:tcPr>
          <w:p>
            <w:pPr>
              <w:pStyle w:val="TableContents"/>
              <w:spacing w:before="0" w:after="283"/>
              <w:rPr>
                <w:sz w:val="4"/>
                <w:szCs w:val="4"/>
              </w:rPr>
            </w:pPr>
            <w:r>
              <w:rPr>
                <w:sz w:val="4"/>
                <w:szCs w:val="4"/>
              </w:rPr>
            </w:r>
          </w:p>
        </w:tc>
        <w:tc>
          <w:tcPr>
            <w:tcW w:w="923"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121"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1034"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 xml:space="preserve">(Amounts in thousands) </w:t>
            </w:r>
          </w:p>
        </w:tc>
        <w:tc>
          <w:tcPr>
            <w:tcW w:w="15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Assets, net (Current)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5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Long-term Contract Assets, net(1)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5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Liabilities (Current)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Long-term Contract Liabilities(2)</w:t>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Beginning balance, January 1, 2023</w:t>
            </w:r>
          </w:p>
        </w:tc>
        <w:tc>
          <w:tcPr>
            <w:tcW w:w="28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1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233,457 </w:t>
            </w:r>
          </w:p>
        </w:tc>
        <w:tc>
          <w:tcPr>
            <w:tcW w:w="14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2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297 </w:t>
            </w:r>
          </w:p>
        </w:tc>
        <w:tc>
          <w:tcPr>
            <w:tcW w:w="21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256,963 </w:t>
            </w:r>
          </w:p>
        </w:tc>
        <w:tc>
          <w:tcPr>
            <w:tcW w:w="14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3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1,059 </w:t>
            </w:r>
          </w:p>
        </w:tc>
        <w:tc>
          <w:tcPr>
            <w:tcW w:w="18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Revenue recognized that was included in contract liabilities at the beginning of the period</w:t>
            </w:r>
          </w:p>
        </w:tc>
        <w:tc>
          <w:tcPr>
            <w:tcW w:w="14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(117,035)</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8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Revenue recognized in the period in excess of billings</w:t>
            </w:r>
          </w:p>
        </w:tc>
        <w:tc>
          <w:tcPr>
            <w:tcW w:w="14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136,965 </w:t>
            </w:r>
          </w:p>
        </w:tc>
        <w:tc>
          <w:tcPr>
            <w:tcW w:w="14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4 </w:t>
            </w:r>
          </w:p>
        </w:tc>
        <w:tc>
          <w:tcPr>
            <w:tcW w:w="2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8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Billings arising during the period in excess of revenue recognized</w:t>
            </w:r>
          </w:p>
        </w:tc>
        <w:tc>
          <w:tcPr>
            <w:tcW w:w="14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146,262 </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164 </w:t>
            </w:r>
          </w:p>
        </w:tc>
        <w:tc>
          <w:tcPr>
            <w:tcW w:w="18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transferred from contract assets to receivables</w:t>
            </w:r>
          </w:p>
        </w:tc>
        <w:tc>
          <w:tcPr>
            <w:tcW w:w="140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(137,865)</w:t>
            </w:r>
          </w:p>
        </w:tc>
        <w:tc>
          <w:tcPr>
            <w:tcW w:w="14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8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auto" w:val="clear"/>
            <w:vAlign w:val="center"/>
          </w:tcPr>
          <w:p>
            <w:pPr>
              <w:pStyle w:val="TableContents"/>
              <w:spacing w:before="0" w:after="283"/>
              <w:rPr>
                <w:sz w:val="4"/>
                <w:szCs w:val="4"/>
              </w:rPr>
            </w:pPr>
            <w:r>
              <w:rPr>
                <w:sz w:val="4"/>
                <w:szCs w:val="4"/>
              </w:rPr>
            </w:r>
          </w:p>
        </w:tc>
        <w:tc>
          <w:tcPr>
            <w:tcW w:w="155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5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5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72" w:type="dxa"/>
            <w:gridSpan w:val="3"/>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Currency effects and other, net</w:t>
            </w:r>
          </w:p>
        </w:tc>
        <w:tc>
          <w:tcPr>
            <w:tcW w:w="140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(693)</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4 </w:t>
            </w:r>
          </w:p>
        </w:tc>
        <w:tc>
          <w:tcPr>
            <w:tcW w:w="2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5,448 </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2,983 </w:t>
            </w:r>
          </w:p>
        </w:tc>
        <w:tc>
          <w:tcPr>
            <w:tcW w:w="18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Ending balance, March 31, 2023</w:t>
            </w:r>
          </w:p>
        </w:tc>
        <w:tc>
          <w:tcPr>
            <w:tcW w:w="28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1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231,864 </w:t>
            </w:r>
          </w:p>
        </w:tc>
        <w:tc>
          <w:tcPr>
            <w:tcW w:w="14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2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305 </w:t>
            </w:r>
          </w:p>
        </w:tc>
        <w:tc>
          <w:tcPr>
            <w:tcW w:w="2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291,638 </w:t>
            </w:r>
          </w:p>
        </w:tc>
        <w:tc>
          <w:tcPr>
            <w:tcW w:w="14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3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4,206 </w:t>
            </w:r>
          </w:p>
        </w:tc>
        <w:tc>
          <w:tcPr>
            <w:tcW w:w="18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2831" w:type="dxa"/>
            <w:gridSpan w:val="3"/>
            <w:tcBorders/>
            <w:shd w:fill="auto" w:val="clear"/>
            <w:vAlign w:val="center"/>
          </w:tcPr>
          <w:p>
            <w:pPr>
              <w:pStyle w:val="TableContents"/>
              <w:spacing w:before="0" w:after="283"/>
              <w:rPr>
                <w:sz w:val="4"/>
                <w:szCs w:val="4"/>
              </w:rPr>
            </w:pPr>
            <w:r>
              <w:rPr>
                <w:sz w:val="4"/>
                <w:szCs w:val="4"/>
              </w:rPr>
            </w:r>
          </w:p>
        </w:tc>
        <w:tc>
          <w:tcPr>
            <w:tcW w:w="155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5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5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72" w:type="dxa"/>
            <w:gridSpan w:val="3"/>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rPr/>
      </w:pPr>
      <w:r>
        <w:rPr/>
      </w:r>
    </w:p>
    <w:p>
      <w:pPr>
        <w:pStyle w:val="TextBody"/>
        <w:spacing w:before="0" w:after="0"/>
        <w:rPr/>
      </w:pPr>
      <w:r>
        <w:rPr/>
      </w:r>
    </w:p>
    <w:tbl>
      <w:tblPr>
        <w:tblW w:w="10205" w:type="dxa"/>
        <w:jc w:val="left"/>
        <w:tblInd w:w="0" w:type="dxa"/>
        <w:tblCellMar>
          <w:top w:w="28" w:type="dxa"/>
          <w:left w:w="28" w:type="dxa"/>
          <w:bottom w:w="28" w:type="dxa"/>
          <w:right w:w="28" w:type="dxa"/>
        </w:tblCellMar>
      </w:tblPr>
      <w:tblGrid>
        <w:gridCol w:w="1148"/>
        <w:gridCol w:w="867"/>
        <w:gridCol w:w="870"/>
        <w:gridCol w:w="287"/>
        <w:gridCol w:w="1127"/>
        <w:gridCol w:w="148"/>
        <w:gridCol w:w="109"/>
        <w:gridCol w:w="109"/>
        <w:gridCol w:w="109"/>
        <w:gridCol w:w="422"/>
        <w:gridCol w:w="932"/>
        <w:gridCol w:w="218"/>
        <w:gridCol w:w="109"/>
        <w:gridCol w:w="109"/>
        <w:gridCol w:w="109"/>
        <w:gridCol w:w="288"/>
        <w:gridCol w:w="1129"/>
        <w:gridCol w:w="149"/>
        <w:gridCol w:w="109"/>
        <w:gridCol w:w="109"/>
        <w:gridCol w:w="109"/>
        <w:gridCol w:w="414"/>
        <w:gridCol w:w="916"/>
        <w:gridCol w:w="309"/>
      </w:tblGrid>
      <w:tr>
        <w:trPr/>
        <w:tc>
          <w:tcPr>
            <w:tcW w:w="1148"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870"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112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932"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center"/>
          </w:tcPr>
          <w:p>
            <w:pPr>
              <w:pStyle w:val="TableContents"/>
              <w:spacing w:before="0" w:after="283"/>
              <w:rPr>
                <w:sz w:val="4"/>
                <w:szCs w:val="4"/>
              </w:rPr>
            </w:pPr>
            <w:r>
              <w:rPr>
                <w:sz w:val="4"/>
                <w:szCs w:val="4"/>
              </w:rPr>
            </w:r>
          </w:p>
        </w:tc>
        <w:tc>
          <w:tcPr>
            <w:tcW w:w="1129"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r>
      <w:tr>
        <w:trPr/>
        <w:tc>
          <w:tcPr>
            <w:tcW w:w="28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56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Assets, net (Current)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Long-term Contract Assets, net(1)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Liabilities (Current)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3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Long-term Contract Liabilities(2)</w:t>
            </w:r>
          </w:p>
        </w:tc>
      </w:tr>
      <w:tr>
        <w:trPr/>
        <w:tc>
          <w:tcPr>
            <w:tcW w:w="288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Beginning balance, January 1, 2022</w:t>
            </w:r>
          </w:p>
        </w:tc>
        <w:tc>
          <w:tcPr>
            <w:tcW w:w="28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2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195,598 </w:t>
            </w:r>
          </w:p>
        </w:tc>
        <w:tc>
          <w:tcPr>
            <w:tcW w:w="14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3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426 </w:t>
            </w:r>
          </w:p>
        </w:tc>
        <w:tc>
          <w:tcPr>
            <w:tcW w:w="21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2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202,965 </w:t>
            </w:r>
          </w:p>
        </w:tc>
        <w:tc>
          <w:tcPr>
            <w:tcW w:w="14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464 </w:t>
            </w:r>
          </w:p>
        </w:tc>
        <w:tc>
          <w:tcPr>
            <w:tcW w:w="3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Revenue recognized that was included in contract liabilities at the beginning of the period</w:t>
            </w:r>
          </w:p>
        </w:tc>
        <w:tc>
          <w:tcPr>
            <w:tcW w:w="141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(79,792)</w:t>
            </w:r>
          </w:p>
        </w:tc>
        <w:tc>
          <w:tcPr>
            <w:tcW w:w="14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3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Revenue recognized in the period in excess of billings</w:t>
            </w:r>
          </w:p>
        </w:tc>
        <w:tc>
          <w:tcPr>
            <w:tcW w:w="141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116,140 </w:t>
            </w:r>
          </w:p>
        </w:tc>
        <w:tc>
          <w:tcPr>
            <w:tcW w:w="14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1,757 </w:t>
            </w:r>
          </w:p>
        </w:tc>
        <w:tc>
          <w:tcPr>
            <w:tcW w:w="21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3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Billings arising during the period in excess of revenue recognized</w:t>
            </w:r>
          </w:p>
        </w:tc>
        <w:tc>
          <w:tcPr>
            <w:tcW w:w="141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78,156 </w:t>
            </w:r>
          </w:p>
        </w:tc>
        <w:tc>
          <w:tcPr>
            <w:tcW w:w="14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3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transferred from contract assets to receivables</w:t>
            </w:r>
          </w:p>
        </w:tc>
        <w:tc>
          <w:tcPr>
            <w:tcW w:w="141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(109,358)</w:t>
            </w:r>
          </w:p>
        </w:tc>
        <w:tc>
          <w:tcPr>
            <w:tcW w:w="14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3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5" w:type="dxa"/>
            <w:gridSpan w:val="3"/>
            <w:tcBorders/>
            <w:shd w:fill="auto" w:val="clear"/>
            <w:vAlign w:val="center"/>
          </w:tcPr>
          <w:p>
            <w:pPr>
              <w:pStyle w:val="TableContents"/>
              <w:spacing w:before="0" w:after="283"/>
              <w:rPr>
                <w:sz w:val="4"/>
                <w:szCs w:val="4"/>
              </w:rPr>
            </w:pPr>
            <w:r>
              <w:rPr>
                <w:sz w:val="4"/>
                <w:szCs w:val="4"/>
              </w:rPr>
            </w:r>
          </w:p>
        </w:tc>
        <w:tc>
          <w:tcPr>
            <w:tcW w:w="156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7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39" w:type="dxa"/>
            <w:gridSpan w:val="3"/>
            <w:tcBorders/>
            <w:shd w:fill="auto" w:val="clear"/>
            <w:vAlign w:val="center"/>
          </w:tcPr>
          <w:p>
            <w:pPr>
              <w:pStyle w:val="TableContents"/>
              <w:spacing w:before="0" w:after="283"/>
              <w:rPr>
                <w:sz w:val="4"/>
                <w:szCs w:val="4"/>
              </w:rPr>
            </w:pPr>
            <w:r>
              <w:rPr>
                <w:sz w:val="4"/>
                <w:szCs w:val="4"/>
              </w:rPr>
            </w:r>
          </w:p>
        </w:tc>
      </w:tr>
      <w:tr>
        <w:trPr/>
        <w:tc>
          <w:tcPr>
            <w:tcW w:w="288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Currency effects and other, net</w:t>
            </w:r>
          </w:p>
        </w:tc>
        <w:tc>
          <w:tcPr>
            <w:tcW w:w="141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(2,326)</w:t>
            </w:r>
          </w:p>
        </w:tc>
        <w:tc>
          <w:tcPr>
            <w:tcW w:w="1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(1,750)</w:t>
            </w:r>
          </w:p>
        </w:tc>
        <w:tc>
          <w:tcPr>
            <w:tcW w:w="21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2,829 </w:t>
            </w:r>
          </w:p>
        </w:tc>
        <w:tc>
          <w:tcPr>
            <w:tcW w:w="14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3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w:t>
            </w:r>
          </w:p>
        </w:tc>
        <w:tc>
          <w:tcPr>
            <w:tcW w:w="3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Ending balance, March 31, 2022</w:t>
            </w:r>
          </w:p>
        </w:tc>
        <w:tc>
          <w:tcPr>
            <w:tcW w:w="28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2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200,054 </w:t>
            </w:r>
          </w:p>
        </w:tc>
        <w:tc>
          <w:tcPr>
            <w:tcW w:w="14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3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433 </w:t>
            </w:r>
          </w:p>
        </w:tc>
        <w:tc>
          <w:tcPr>
            <w:tcW w:w="21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2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204,158 </w:t>
            </w:r>
          </w:p>
        </w:tc>
        <w:tc>
          <w:tcPr>
            <w:tcW w:w="14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462 </w:t>
            </w:r>
          </w:p>
        </w:tc>
        <w:tc>
          <w:tcPr>
            <w:tcW w:w="3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_____________________________________</w:t>
      </w:r>
    </w:p>
    <w:p>
      <w:pPr>
        <w:pStyle w:val="TextBody"/>
        <w:spacing w:lineRule="auto" w:line="288" w:before="0" w:after="0"/>
        <w:jc w:val="both"/>
        <w:rPr>
          <w:rFonts w:ascii="Times New Roman;sans-serif" w:hAnsi="Times New Roman;sans-serif"/>
          <w:b w:val="false"/>
          <w:color w:val="000000"/>
          <w:sz w:val="20"/>
        </w:rPr>
      </w:pPr>
      <w:r>
        <w:rPr>
          <w:rFonts w:ascii="Times New Roman;sans-serif" w:hAnsi="Times New Roman;sans-serif"/>
          <w:b w:val="false"/>
          <w:color w:val="000000"/>
          <w:sz w:val="20"/>
        </w:rPr>
        <w:t>(1) Included in other assets, net.</w:t>
      </w:r>
    </w:p>
    <w:p>
      <w:pPr>
        <w:pStyle w:val="TextBody"/>
        <w:spacing w:lineRule="auto" w:line="288" w:before="0" w:after="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(2) Included in retirement obligations and other liabilities. </w:t>
      </w:r>
    </w:p>
    <w:p>
      <w:pPr>
        <w:pStyle w:val="TextBody"/>
        <w:spacing w:before="0" w:after="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3.Allowance for Expected Credit Losses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allowance for credit losses is an estimate of the credit losses expected over the life of our financial assets and instruments. We assess and measure expected credit losses on a collective basis when similar risk characteristics exist, including market, geography, credit risk and remaining duration. Financial assets and instruments that do not share risk characteristics are evaluated on an individual basis. Our estimate of the allowance is assessed and quantified using internal and external valuation information relating to past events, current conditions and reasonable and supportable forecasts over the contractual terms of an asset.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Our primary exposure to expected credit losses is through our trade receivables and contract assets. For these financial assets, we record an allowance for expected credit losses that, when deducted from the gross asset balance, presents the net amount expected to be collected. Primarily, our experience of historical credit losses provides the basis for our estimation of the allowance. We estimate the allowance based on an aging schedule and according to historical losses as determined from our history of billings and collections. Additionally, we adjust the allowance for factors that are specific to our customers’ credit risk such as financial difficulties, liquidity issues, insolvency, and country and geopolitical risks. We also consider both the current and forecasted macroeconomic conditions as of the reporting date. As identified and needed, we adjust the allowance and recognize adjustments in the income statement each period. Trade receivables are written off against the allowance in the period when the receivable is deemed to be uncollectible. Subsequent recoveries of previously written off amounts are reflected as a reduction to credit impairment losses in the condensed consolidated statements of income.</w:t>
      </w:r>
    </w:p>
    <w:p>
      <w:pPr>
        <w:pStyle w:val="HorizontalLine"/>
        <w:rPr/>
      </w:pPr>
      <w:r>
        <w:rPr/>
      </w:r>
      <w:r>
        <mc:AlternateContent>
          <mc:Choice Requires="wps">
            <w:drawing>
              <wp:anchor behindDoc="0" distT="0" distB="0" distL="0" distR="0" simplePos="0" locked="0" layoutInCell="1" allowOverlap="1" relativeHeight="13">
                <wp:simplePos x="0" y="0"/>
                <wp:positionH relativeFrom="character">
                  <wp:align>left</wp:align>
                </wp:positionH>
                <wp:positionV relativeFrom="line">
                  <wp:posOffset>635</wp:posOffset>
                </wp:positionV>
                <wp:extent cx="6480175" cy="351155"/>
                <wp:effectExtent l="0" t="0" r="0" b="0"/>
                <wp:wrapNone/>
                <wp:docPr id="12" name="Frame1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9</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firstLine="360"/>
        <w:jc w:val="both"/>
        <w:rPr>
          <w:rFonts w:ascii="Times New Roman;sans-serif" w:hAnsi="Times New Roman;sans-serif"/>
          <w:b w:val="false"/>
          <w:color w:val="000000"/>
          <w:sz w:val="20"/>
          <w:highlight w:val="white"/>
        </w:rPr>
      </w:pPr>
      <w:r>
        <w:rPr>
          <w:rFonts w:ascii="Times New Roman;sans-serif" w:hAnsi="Times New Roman;sans-serif"/>
          <w:b w:val="false"/>
          <w:color w:val="000000"/>
          <w:sz w:val="20"/>
          <w:highlight w:val="white"/>
        </w:rPr>
        <w:t xml:space="preserve">Contract assets represent a conditional right to consideration for satisfied performance obligations that become a receivable when the conditions are satisfied. Generally, contract assets are recorded when contractual billing schedules differ from revenue recognition based on timing and are managed through the revenue recognition process. Based on our historical credit loss experience, the current expected credit loss for contract assets is estimated to be approximately 1% of the asset balance.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following table presents the changes in the allowance for expected credit losses for our accounts receivable and short-term contract assets for the three months ended March 31, 2023 and 2022: </w:t>
      </w:r>
    </w:p>
    <w:tbl>
      <w:tblPr>
        <w:tblW w:w="7345" w:type="dxa"/>
        <w:jc w:val="left"/>
        <w:tblInd w:w="0" w:type="dxa"/>
        <w:tblCellMar>
          <w:top w:w="28" w:type="dxa"/>
          <w:left w:w="28" w:type="dxa"/>
          <w:bottom w:w="28" w:type="dxa"/>
          <w:right w:w="28" w:type="dxa"/>
        </w:tblCellMar>
      </w:tblPr>
      <w:tblGrid>
        <w:gridCol w:w="1419"/>
        <w:gridCol w:w="1246"/>
        <w:gridCol w:w="1250"/>
        <w:gridCol w:w="331"/>
        <w:gridCol w:w="1132"/>
        <w:gridCol w:w="171"/>
        <w:gridCol w:w="109"/>
        <w:gridCol w:w="109"/>
        <w:gridCol w:w="109"/>
        <w:gridCol w:w="316"/>
        <w:gridCol w:w="923"/>
        <w:gridCol w:w="230"/>
      </w:tblGrid>
      <w:tr>
        <w:trPr/>
        <w:tc>
          <w:tcPr>
            <w:tcW w:w="1419" w:type="dxa"/>
            <w:tcBorders/>
            <w:shd w:fill="auto" w:val="clear"/>
            <w:vAlign w:val="center"/>
          </w:tcPr>
          <w:p>
            <w:pPr>
              <w:pStyle w:val="TableContents"/>
              <w:spacing w:before="0" w:after="283"/>
              <w:rPr>
                <w:sz w:val="4"/>
                <w:szCs w:val="4"/>
              </w:rPr>
            </w:pPr>
            <w:r>
              <w:rPr>
                <w:sz w:val="4"/>
                <w:szCs w:val="4"/>
              </w:rPr>
            </w:r>
          </w:p>
        </w:tc>
        <w:tc>
          <w:tcPr>
            <w:tcW w:w="1246"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center"/>
          </w:tcPr>
          <w:p>
            <w:pPr>
              <w:pStyle w:val="TableContents"/>
              <w:spacing w:before="0" w:after="283"/>
              <w:rPr>
                <w:sz w:val="4"/>
                <w:szCs w:val="4"/>
              </w:rPr>
            </w:pPr>
            <w:r>
              <w:rPr>
                <w:sz w:val="4"/>
                <w:szCs w:val="4"/>
              </w:rPr>
            </w:r>
          </w:p>
        </w:tc>
        <w:tc>
          <w:tcPr>
            <w:tcW w:w="1132"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center"/>
          </w:tcPr>
          <w:p>
            <w:pPr>
              <w:pStyle w:val="TableContents"/>
              <w:spacing w:before="0" w:after="283"/>
              <w:rPr>
                <w:sz w:val="4"/>
                <w:szCs w:val="4"/>
              </w:rPr>
            </w:pPr>
            <w:r>
              <w:rPr>
                <w:sz w:val="4"/>
                <w:szCs w:val="4"/>
              </w:rPr>
            </w:r>
          </w:p>
        </w:tc>
        <w:tc>
          <w:tcPr>
            <w:tcW w:w="92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r>
      <w:tr>
        <w:trPr/>
        <w:tc>
          <w:tcPr>
            <w:tcW w:w="39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63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Trade receivables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 xml:space="preserve">Contract assets </w:t>
            </w:r>
          </w:p>
        </w:tc>
      </w:tr>
      <w:tr>
        <w:trPr/>
        <w:tc>
          <w:tcPr>
            <w:tcW w:w="391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Beginning balance, January 1, 2023</w:t>
            </w:r>
          </w:p>
        </w:tc>
        <w:tc>
          <w:tcPr>
            <w:tcW w:w="33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3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83,062 </w:t>
            </w:r>
          </w:p>
        </w:tc>
        <w:tc>
          <w:tcPr>
            <w:tcW w:w="1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2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5,819 </w:t>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Charges to cost and expenses, net of recoveries</w:t>
            </w:r>
          </w:p>
        </w:tc>
        <w:tc>
          <w:tcPr>
            <w:tcW w:w="146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2,440 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3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Write-offs</w:t>
            </w:r>
          </w:p>
        </w:tc>
        <w:tc>
          <w:tcPr>
            <w:tcW w:w="146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(4,325)</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3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Currency effects and other, net</w:t>
            </w:r>
          </w:p>
        </w:tc>
        <w:tc>
          <w:tcPr>
            <w:tcW w:w="146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1,340 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3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(230)</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Ending balance, March 31, 2023</w:t>
            </w:r>
          </w:p>
        </w:tc>
        <w:tc>
          <w:tcPr>
            <w:tcW w:w="33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3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82,517 </w:t>
            </w:r>
          </w:p>
        </w:tc>
        <w:tc>
          <w:tcPr>
            <w:tcW w:w="1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2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5,589 </w:t>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34"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69"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Beginning balance, January 1, 2022</w:t>
            </w:r>
          </w:p>
        </w:tc>
        <w:tc>
          <w:tcPr>
            <w:tcW w:w="33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3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74,336 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2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2,393 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Charges to cost and expenses, net of recoveries</w:t>
            </w:r>
          </w:p>
        </w:tc>
        <w:tc>
          <w:tcPr>
            <w:tcW w:w="146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5,225 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3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896 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auto" w:val="clear"/>
            <w:vAlign w:val="center"/>
          </w:tcPr>
          <w:p>
            <w:pPr>
              <w:pStyle w:val="TableContents"/>
              <w:spacing w:before="0" w:after="283"/>
              <w:rPr>
                <w:sz w:val="4"/>
                <w:szCs w:val="4"/>
              </w:rPr>
            </w:pPr>
            <w:r>
              <w:rPr>
                <w:sz w:val="4"/>
                <w:szCs w:val="4"/>
              </w:rPr>
            </w:r>
          </w:p>
        </w:tc>
        <w:tc>
          <w:tcPr>
            <w:tcW w:w="163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r>
      <w:tr>
        <w:trPr/>
        <w:tc>
          <w:tcPr>
            <w:tcW w:w="391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Currency effects and other, net</w:t>
            </w:r>
          </w:p>
        </w:tc>
        <w:tc>
          <w:tcPr>
            <w:tcW w:w="146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(235)</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3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1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Ending balance, March 31, 2022</w:t>
            </w:r>
          </w:p>
        </w:tc>
        <w:tc>
          <w:tcPr>
            <w:tcW w:w="33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32"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79,326 </w:t>
            </w:r>
          </w:p>
        </w:tc>
        <w:tc>
          <w:tcPr>
            <w:tcW w:w="17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2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3,338 </w:t>
            </w:r>
          </w:p>
        </w:tc>
        <w:tc>
          <w:tcPr>
            <w:tcW w:w="230"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 xml:space="preserve">Our allowance on long-term receivables, included in other assets, net, represent receivables with collection periods longer than 12 months and the balance primarily consists of reserved receivables associated with the national oil company in Venezuela. </w:t>
      </w:r>
      <w:r>
        <w:rPr>
          <w:rFonts w:ascii="Times New Roman;sans-serif" w:hAnsi="Times New Roman;sans-serif"/>
          <w:b w:val="false"/>
          <w:color w:val="000000"/>
          <w:sz w:val="20"/>
        </w:rPr>
        <w:t xml:space="preserve">The following table presents the changes in the allowance for </w:t>
      </w:r>
      <w:r>
        <w:rPr>
          <w:rFonts w:ascii="Times New Roman;sans-serif" w:hAnsi="Times New Roman;sans-serif"/>
          <w:b w:val="false"/>
          <w:color w:val="000000"/>
          <w:sz w:val="20"/>
          <w:highlight w:val="white"/>
        </w:rPr>
        <w:t xml:space="preserve">long-term receivables </w:t>
      </w:r>
      <w:r>
        <w:rPr>
          <w:rFonts w:ascii="Times New Roman;sans-serif" w:hAnsi="Times New Roman;sans-serif"/>
          <w:b w:val="false"/>
          <w:color w:val="000000"/>
          <w:sz w:val="20"/>
        </w:rPr>
        <w:t xml:space="preserve">for the three months ended March 31, 2023 and 2022: </w:t>
      </w:r>
    </w:p>
    <w:p>
      <w:pPr>
        <w:pStyle w:val="TextBody"/>
        <w:spacing w:before="120" w:after="283"/>
        <w:ind w:left="0" w:right="0" w:firstLine="360"/>
        <w:jc w:val="both"/>
        <w:rPr/>
      </w:pPr>
      <w:r>
        <w:rPr/>
      </w:r>
    </w:p>
    <w:tbl>
      <w:tblPr>
        <w:tblW w:w="5267" w:type="dxa"/>
        <w:jc w:val="left"/>
        <w:tblInd w:w="0" w:type="dxa"/>
        <w:tblCellMar>
          <w:top w:w="28" w:type="dxa"/>
          <w:left w:w="28" w:type="dxa"/>
          <w:bottom w:w="28" w:type="dxa"/>
          <w:right w:w="28" w:type="dxa"/>
        </w:tblCellMar>
      </w:tblPr>
      <w:tblGrid>
        <w:gridCol w:w="940"/>
        <w:gridCol w:w="826"/>
        <w:gridCol w:w="829"/>
        <w:gridCol w:w="211"/>
        <w:gridCol w:w="721"/>
        <w:gridCol w:w="109"/>
        <w:gridCol w:w="109"/>
        <w:gridCol w:w="109"/>
        <w:gridCol w:w="109"/>
        <w:gridCol w:w="211"/>
        <w:gridCol w:w="721"/>
        <w:gridCol w:w="109"/>
        <w:gridCol w:w="109"/>
        <w:gridCol w:w="154"/>
      </w:tblGrid>
      <w:tr>
        <w:trPr/>
        <w:tc>
          <w:tcPr>
            <w:tcW w:w="940"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82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0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Balance at January 1</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66,377 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67,696 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Currency effects and other, net</w:t>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(802)</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488 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Balance at March 31</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65,575 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68,184 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8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We also have exposure to credit losses from off-balance sheet exposures, such as financial guarantees and standby letters of credit, where we believe the risk of loss is immaterial to our financial statements as of March 31, 2023. </w:t>
      </w:r>
    </w:p>
    <w:p>
      <w:pPr>
        <w:pStyle w:val="TextBody"/>
        <w:spacing w:before="0" w:after="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4.Stock-Based Compensation Plans</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We maintain the Flowserve Corporation 2020 Long-Term Incentive Plan (“2020 Plan”), which is a shareholder approved plan authorizing the issuance of 12,500,000 shares of our common stock in the form of restricted shares, restricted share units and performance-based units (collectively referred to as "Restricted Shares"), incentive stock options, non-statutory stock options, stock appreciation rights and bonus stock. </w:t>
      </w:r>
      <w:r>
        <w:rPr>
          <w:rFonts w:ascii="Times New Roman;sans-serif" w:hAnsi="Times New Roman;sans-serif"/>
          <w:b w:val="false"/>
          <w:color w:val="000000"/>
          <w:sz w:val="20"/>
          <w:highlight w:val="white"/>
        </w:rPr>
        <w:t xml:space="preserve">Of the shares of common stock authorized under the 2020 Plan, </w:t>
      </w:r>
      <w:r>
        <w:rPr>
          <w:rFonts w:ascii="Times New Roman;sans-serif" w:hAnsi="Times New Roman;sans-serif"/>
          <w:b w:val="false"/>
          <w:color w:val="000000"/>
          <w:sz w:val="20"/>
        </w:rPr>
        <w:t>8,224,898</w:t>
      </w:r>
      <w:r>
        <w:rPr>
          <w:color w:val="000000"/>
          <w:highlight w:val="white"/>
        </w:rPr>
        <w:t xml:space="preserve"> </w:t>
      </w:r>
      <w:r>
        <w:rPr>
          <w:rFonts w:ascii="Times New Roman;sans-serif" w:hAnsi="Times New Roman;sans-serif"/>
          <w:b w:val="false"/>
          <w:color w:val="000000"/>
          <w:sz w:val="20"/>
          <w:highlight w:val="white"/>
        </w:rPr>
        <w:t xml:space="preserve">were available for issuance as of March 31, 2023. Restricted Shares primarily vest over </w:t>
      </w:r>
      <w:r>
        <w:rPr>
          <w:rFonts w:ascii="Times New Roman;sans-serif" w:hAnsi="Times New Roman;sans-serif"/>
          <w:b w:val="false"/>
          <w:color w:val="000000"/>
          <w:sz w:val="20"/>
        </w:rPr>
        <w:t>a three</w:t>
      </w:r>
      <w:r>
        <w:rPr>
          <w:color w:val="000000"/>
          <w:highlight w:val="white"/>
        </w:rPr>
        <w:t xml:space="preserve"> </w:t>
      </w:r>
      <w:r>
        <w:rPr>
          <w:rFonts w:ascii="Times New Roman;sans-serif" w:hAnsi="Times New Roman;sans-serif"/>
          <w:b w:val="false"/>
          <w:color w:val="000000"/>
          <w:sz w:val="20"/>
          <w:highlight w:val="white"/>
        </w:rPr>
        <w:t xml:space="preserve">year period. Restricted Shares granted to employees who retire and have achieved at least 55 years of age and </w:t>
      </w:r>
      <w:r>
        <w:rPr>
          <w:rFonts w:ascii="Times New Roman;sans-serif" w:hAnsi="Times New Roman;sans-serif"/>
          <w:b w:val="false"/>
          <w:color w:val="000000"/>
          <w:sz w:val="20"/>
        </w:rPr>
        <w:t>10 years</w:t>
      </w:r>
      <w:r>
        <w:rPr>
          <w:color w:val="000000"/>
          <w:highlight w:val="white"/>
        </w:rPr>
        <w:t xml:space="preserve"> </w:t>
      </w:r>
      <w:r>
        <w:rPr>
          <w:rFonts w:ascii="Times New Roman;sans-serif" w:hAnsi="Times New Roman;sans-serif"/>
          <w:b w:val="false"/>
          <w:color w:val="000000"/>
          <w:sz w:val="20"/>
          <w:highlight w:val="white"/>
        </w:rPr>
        <w:t xml:space="preserve">of service continue to vest over the original vesting period ("55/10 Provision"). As of March 31, 2023, </w:t>
      </w:r>
      <w:r>
        <w:rPr>
          <w:rFonts w:ascii="Times New Roman;sans-serif" w:hAnsi="Times New Roman;sans-serif"/>
          <w:b w:val="false"/>
          <w:color w:val="000000"/>
          <w:sz w:val="20"/>
        </w:rPr>
        <w:t>114,943</w:t>
      </w:r>
      <w:r>
        <w:rPr>
          <w:color w:val="000000"/>
          <w:highlight w:val="white"/>
        </w:rPr>
        <w:t xml:space="preserve"> </w:t>
      </w:r>
      <w:r>
        <w:rPr>
          <w:rFonts w:ascii="Times New Roman;sans-serif" w:hAnsi="Times New Roman;sans-serif"/>
          <w:b w:val="false"/>
          <w:color w:val="000000"/>
          <w:sz w:val="20"/>
          <w:highlight w:val="white"/>
        </w:rPr>
        <w:t xml:space="preserve">stock options were outstanding. </w:t>
      </w:r>
      <w:r>
        <w:rPr>
          <w:rFonts w:ascii="Times New Roman;sans-serif" w:hAnsi="Times New Roman;sans-serif"/>
          <w:b w:val="false"/>
          <w:color w:val="000000"/>
          <w:sz w:val="20"/>
        </w:rPr>
        <w:t>No</w:t>
      </w:r>
      <w:r>
        <w:rPr>
          <w:color w:val="000000"/>
          <w:highlight w:val="white"/>
        </w:rPr>
        <w:t xml:space="preserve"> </w:t>
      </w:r>
      <w:r>
        <w:rPr>
          <w:rFonts w:ascii="Times New Roman;sans-serif" w:hAnsi="Times New Roman;sans-serif"/>
          <w:b w:val="false"/>
          <w:color w:val="000000"/>
          <w:sz w:val="20"/>
          <w:highlight w:val="white"/>
        </w:rPr>
        <w:t>stock options were granted or vested during the three months ended March 31, 2023 and 2022</w:t>
      </w:r>
      <w:r>
        <w:rPr>
          <w:rFonts w:ascii="Times New Roman;sans-serif" w:hAnsi="Times New Roman;sans-serif"/>
          <w:b w:val="false"/>
          <w:color w:val="000000"/>
          <w:sz w:val="20"/>
        </w:rPr>
        <w:t>.</w:t>
      </w:r>
    </w:p>
    <w:p>
      <w:pPr>
        <w:pStyle w:val="TextBody"/>
        <w:spacing w:lineRule="auto" w:line="288" w:before="120" w:after="283"/>
        <w:ind w:left="0" w:right="0" w:firstLine="360"/>
        <w:jc w:val="both"/>
        <w:rPr/>
      </w:pPr>
      <w:r>
        <w:rPr>
          <w:color w:val="000000"/>
        </w:rPr>
        <w:t> </w:t>
      </w:r>
      <w:r>
        <w:rPr>
          <w:rFonts w:ascii="Times New Roman;sans-serif" w:hAnsi="Times New Roman;sans-serif"/>
          <w:b w:val="false"/>
          <w:i/>
          <w:color w:val="000000"/>
          <w:sz w:val="20"/>
        </w:rPr>
        <w:t>Restricted Shares</w:t>
      </w:r>
      <w:r>
        <w:rPr>
          <w:color w:val="000000"/>
        </w:rPr>
        <w:t xml:space="preserve"> – </w:t>
      </w:r>
      <w:r>
        <w:rPr>
          <w:rFonts w:ascii="Times New Roman;sans-serif" w:hAnsi="Times New Roman;sans-serif"/>
          <w:b w:val="false"/>
          <w:color w:val="000000"/>
          <w:sz w:val="20"/>
        </w:rPr>
        <w:t>Awards of Restricted Shares are valued at the closing market price of our common stock on the date of grant. The unearned compensation is amortized to compensation expense over the vesting period of the restricted shares, except for awards related to the 55/10 Provision which are expensed in the</w:t>
      </w:r>
      <w:r>
        <w:rPr>
          <w:color w:val="000000"/>
          <w:highlight w:val="white"/>
        </w:rPr>
        <w:t xml:space="preserve"> </w:t>
      </w:r>
      <w:r>
        <w:rPr>
          <w:rFonts w:ascii="Times New Roman;sans-serif" w:hAnsi="Times New Roman;sans-serif"/>
          <w:b w:val="false"/>
          <w:color w:val="000000"/>
          <w:sz w:val="20"/>
          <w:highlight w:val="white"/>
        </w:rPr>
        <w:t>period granted. We had unearned compensat</w:t>
      </w:r>
      <w:r>
        <w:rPr>
          <w:rFonts w:ascii="Times New Roman;sans-serif" w:hAnsi="Times New Roman;sans-serif"/>
          <w:b w:val="false"/>
          <w:color w:val="000000"/>
          <w:sz w:val="20"/>
        </w:rPr>
        <w:t>ion of $36.0 million and $18.0 million at March 31, 2023 and December 31, 2022, respectively, which is expected to be recognized over a remaining weighted-average period of approximately two years. These amounts will be recognized into net earnings in prospective periods as the awards vest. The total fair value of Restricted Shares vested during the three months ended March 31, 2023 and 2022 was $21.8 million and $20.7 million, respectively.</w:t>
      </w:r>
    </w:p>
    <w:p>
      <w:pPr>
        <w:pStyle w:val="TextBody"/>
        <w:spacing w:lineRule="auto" w:line="288" w:before="120" w:after="283"/>
        <w:ind w:left="0" w:right="0" w:firstLine="360"/>
        <w:jc w:val="both"/>
        <w:rPr/>
      </w:pPr>
      <w:r>
        <w:rPr>
          <w:rFonts w:ascii="Times New Roman;sans-serif" w:hAnsi="Times New Roman;sans-serif"/>
          <w:b w:val="false"/>
          <w:color w:val="000000"/>
          <w:sz w:val="20"/>
        </w:rPr>
        <w:t>We recorded stock-based compensation expense of $7.7 million ($10.0 million pr</w:t>
      </w:r>
      <w:r>
        <w:rPr>
          <w:rFonts w:ascii="Times New Roman;sans-serif" w:hAnsi="Times New Roman;sans-serif"/>
          <w:b w:val="false"/>
          <w:color w:val="000000"/>
          <w:sz w:val="20"/>
          <w:highlight w:val="white"/>
        </w:rPr>
        <w:t xml:space="preserve">e-tax) and $8.5 million ($11.0 million pre-tax) for the three months ended March 31, 2023 and 2022, respectively. </w:t>
      </w:r>
    </w:p>
    <w:p>
      <w:pPr>
        <w:pStyle w:val="HorizontalLine"/>
        <w:rPr/>
      </w:pPr>
      <w:r>
        <w:rPr/>
      </w:r>
      <w:r>
        <mc:AlternateContent>
          <mc:Choice Requires="wps">
            <w:drawing>
              <wp:anchor behindDoc="0" distT="0" distB="0" distL="0" distR="0" simplePos="0" locked="0" layoutInCell="1" allowOverlap="1" relativeHeight="14">
                <wp:simplePos x="0" y="0"/>
                <wp:positionH relativeFrom="character">
                  <wp:align>left</wp:align>
                </wp:positionH>
                <wp:positionV relativeFrom="line">
                  <wp:posOffset>635</wp:posOffset>
                </wp:positionV>
                <wp:extent cx="6480175" cy="351155"/>
                <wp:effectExtent l="0" t="0" r="0" b="0"/>
                <wp:wrapNone/>
                <wp:docPr id="13" name="Frame1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10</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table summarizes information regarding Restricted Shares:</w:t>
      </w:r>
    </w:p>
    <w:tbl>
      <w:tblPr>
        <w:tblW w:w="6721" w:type="dxa"/>
        <w:jc w:val="left"/>
        <w:tblInd w:w="0" w:type="dxa"/>
        <w:tblCellMar>
          <w:top w:w="28" w:type="dxa"/>
          <w:left w:w="28" w:type="dxa"/>
          <w:bottom w:w="28" w:type="dxa"/>
          <w:right w:w="28" w:type="dxa"/>
        </w:tblCellMar>
      </w:tblPr>
      <w:tblGrid>
        <w:gridCol w:w="1043"/>
        <w:gridCol w:w="915"/>
        <w:gridCol w:w="922"/>
        <w:gridCol w:w="488"/>
        <w:gridCol w:w="488"/>
        <w:gridCol w:w="226"/>
        <w:gridCol w:w="220"/>
        <w:gridCol w:w="220"/>
        <w:gridCol w:w="220"/>
        <w:gridCol w:w="426"/>
        <w:gridCol w:w="1243"/>
        <w:gridCol w:w="310"/>
      </w:tblGrid>
      <w:tr>
        <w:trPr/>
        <w:tc>
          <w:tcPr>
            <w:tcW w:w="1043" w:type="dxa"/>
            <w:tcBorders/>
            <w:shd w:fill="auto" w:val="clear"/>
            <w:vAlign w:val="center"/>
          </w:tcPr>
          <w:p>
            <w:pPr>
              <w:pStyle w:val="TableContents"/>
              <w:spacing w:before="0" w:after="283"/>
              <w:rPr>
                <w:sz w:val="4"/>
                <w:szCs w:val="4"/>
              </w:rPr>
            </w:pPr>
            <w:r>
              <w:rPr>
                <w:sz w:val="4"/>
                <w:szCs w:val="4"/>
              </w:rPr>
            </w:r>
          </w:p>
        </w:tc>
        <w:tc>
          <w:tcPr>
            <w:tcW w:w="915" w:type="dxa"/>
            <w:tcBorders/>
            <w:shd w:fill="auto" w:val="clear"/>
            <w:vAlign w:val="center"/>
          </w:tcPr>
          <w:p>
            <w:pPr>
              <w:pStyle w:val="TableContents"/>
              <w:spacing w:before="0" w:after="283"/>
              <w:rPr>
                <w:sz w:val="4"/>
                <w:szCs w:val="4"/>
              </w:rPr>
            </w:pPr>
            <w:r>
              <w:rPr>
                <w:sz w:val="4"/>
                <w:szCs w:val="4"/>
              </w:rPr>
            </w:r>
          </w:p>
        </w:tc>
        <w:tc>
          <w:tcPr>
            <w:tcW w:w="922"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43"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r>
      <w:tr>
        <w:trPr/>
        <w:tc>
          <w:tcPr>
            <w:tcW w:w="288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841"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28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Shares</w:t>
            </w:r>
          </w:p>
        </w:tc>
        <w:tc>
          <w:tcPr>
            <w:tcW w:w="66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7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Weighted Average</w:t>
              <w:br/>
              <w:t>Grant-Date Fair</w:t>
              <w:br/>
              <w:t>Value</w:t>
            </w:r>
          </w:p>
        </w:tc>
      </w:tr>
      <w:tr>
        <w:trPr/>
        <w:tc>
          <w:tcPr>
            <w:tcW w:w="288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Number of unvested shares:</w:t>
            </w:r>
          </w:p>
        </w:tc>
        <w:tc>
          <w:tcPr>
            <w:tcW w:w="120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6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7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288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Outstanding as of January 1, 2023</w:t>
            </w:r>
          </w:p>
        </w:tc>
        <w:tc>
          <w:tcPr>
            <w:tcW w:w="97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1,697,779 </w:t>
            </w:r>
          </w:p>
        </w:tc>
        <w:tc>
          <w:tcPr>
            <w:tcW w:w="22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43"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37.17 </w:t>
            </w:r>
          </w:p>
        </w:tc>
        <w:tc>
          <w:tcPr>
            <w:tcW w:w="3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Granted</w:t>
            </w:r>
          </w:p>
        </w:tc>
        <w:tc>
          <w:tcPr>
            <w:tcW w:w="97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843,291 </w:t>
            </w:r>
          </w:p>
        </w:tc>
        <w:tc>
          <w:tcPr>
            <w:tcW w:w="22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36.36 </w:t>
            </w:r>
          </w:p>
        </w:tc>
        <w:tc>
          <w:tcPr>
            <w:tcW w:w="3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Vested</w:t>
            </w:r>
          </w:p>
        </w:tc>
        <w:tc>
          <w:tcPr>
            <w:tcW w:w="97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(567,183)</w:t>
            </w:r>
          </w:p>
        </w:tc>
        <w:tc>
          <w:tcPr>
            <w:tcW w:w="22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38.40 </w:t>
            </w:r>
          </w:p>
        </w:tc>
        <w:tc>
          <w:tcPr>
            <w:tcW w:w="3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Forfeited</w:t>
            </w:r>
          </w:p>
        </w:tc>
        <w:tc>
          <w:tcPr>
            <w:tcW w:w="97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(150,525)</w:t>
            </w:r>
          </w:p>
        </w:tc>
        <w:tc>
          <w:tcPr>
            <w:tcW w:w="22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6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47.06 </w:t>
            </w:r>
          </w:p>
        </w:tc>
        <w:tc>
          <w:tcPr>
            <w:tcW w:w="3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8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Outstanding as of March 31, 2023</w:t>
            </w:r>
          </w:p>
        </w:tc>
        <w:tc>
          <w:tcPr>
            <w:tcW w:w="976"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1,823,362 </w:t>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4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35.59 </w:t>
            </w:r>
          </w:p>
        </w:tc>
        <w:tc>
          <w:tcPr>
            <w:tcW w:w="310"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ind w:left="0" w:right="0" w:firstLine="360"/>
        <w:jc w:val="both"/>
        <w:rPr/>
      </w:pPr>
      <w:r>
        <w:rPr>
          <w:rFonts w:ascii="Times New Roman;sans-serif" w:hAnsi="Times New Roman;sans-serif"/>
          <w:b w:val="false"/>
          <w:color w:val="000000"/>
          <w:sz w:val="20"/>
          <w:highlight w:val="white"/>
        </w:rPr>
        <w:t xml:space="preserve">Unvested Restricted Shares outstanding as of March 31, 2023 included approximately </w:t>
      </w:r>
      <w:r>
        <w:rPr>
          <w:rFonts w:ascii="Times New Roman;sans-serif" w:hAnsi="Times New Roman;sans-serif"/>
          <w:b w:val="false"/>
          <w:color w:val="000000"/>
          <w:sz w:val="20"/>
        </w:rPr>
        <w:t>479,000</w:t>
      </w:r>
      <w:r>
        <w:rPr>
          <w:color w:val="000000"/>
          <w:highlight w:val="white"/>
        </w:rPr>
        <w:t xml:space="preserve"> </w:t>
      </w:r>
      <w:r>
        <w:rPr>
          <w:rFonts w:ascii="Times New Roman;sans-serif" w:hAnsi="Times New Roman;sans-serif"/>
          <w:b w:val="false"/>
          <w:color w:val="000000"/>
          <w:sz w:val="20"/>
          <w:highlight w:val="white"/>
        </w:rPr>
        <w:t xml:space="preserve">units with performance-based vesting provisions issuable in common stock and vest upon the achievement of pre-defined performance metrics. Targets for outstanding performance awards are based on our average return on invested </w:t>
      </w:r>
      <w:r>
        <w:rPr>
          <w:rFonts w:ascii="Times New Roman;sans-serif" w:hAnsi="Times New Roman;sans-serif"/>
          <w:b w:val="false"/>
          <w:color w:val="000000"/>
          <w:sz w:val="20"/>
        </w:rPr>
        <w:t>capital and free cash flow as a percent of net income over a three-year period. Performa</w:t>
      </w:r>
      <w:r>
        <w:rPr>
          <w:rFonts w:ascii="Times New Roman;sans-serif" w:hAnsi="Times New Roman;sans-serif"/>
          <w:b w:val="false"/>
          <w:color w:val="000000"/>
          <w:sz w:val="20"/>
          <w:highlight w:val="white"/>
        </w:rPr>
        <w:t>nce units issued in 2023, 2022 and 2021 include a secondary measure, relative total shareholder return, which can increase or</w:t>
      </w:r>
      <w:r>
        <w:rPr>
          <w:color w:val="000000"/>
        </w:rPr>
        <w:t xml:space="preserve"> </w:t>
      </w:r>
      <w:r>
        <w:rPr>
          <w:rFonts w:ascii="Times New Roman;sans-serif" w:hAnsi="Times New Roman;sans-serif"/>
          <w:b w:val="false"/>
          <w:color w:val="000000"/>
          <w:sz w:val="20"/>
        </w:rPr>
        <w:t>decrease the number of vesting units by 15% depending on the Company's performance versus peers. Performance units issued have a vesting percentage up to 230%. Com</w:t>
      </w:r>
      <w:r>
        <w:rPr>
          <w:rFonts w:ascii="Times New Roman;sans-serif" w:hAnsi="Times New Roman;sans-serif"/>
          <w:b w:val="false"/>
          <w:color w:val="000000"/>
          <w:sz w:val="20"/>
          <w:highlight w:val="white"/>
        </w:rPr>
        <w:t>pensation expense is recognized ratably over a cliff-vesting period of 36 months, based on the fair value of our common stock on the date of grant, adjusted for actual forfeitures. During the performance period, earned and unearned compensation expense is adjusted based on changes in the expected achievement of the performance targets for all performance-based units granted. Vesting provisions range fro</w:t>
      </w:r>
      <w:r>
        <w:rPr>
          <w:rFonts w:ascii="Times New Roman;sans-serif" w:hAnsi="Times New Roman;sans-serif"/>
          <w:b w:val="false"/>
          <w:color w:val="000000"/>
          <w:sz w:val="20"/>
        </w:rPr>
        <w:t xml:space="preserve">m 0 to </w:t>
      </w:r>
      <w:r>
        <w:rPr>
          <w:rFonts w:ascii="Times New Roman;sans-serif" w:hAnsi="Times New Roman;sans-serif"/>
          <w:b w:val="false"/>
          <w:color w:val="000000"/>
          <w:sz w:val="20"/>
          <w:highlight w:val="white"/>
        </w:rPr>
        <w:t xml:space="preserve">approximately </w:t>
      </w:r>
      <w:r>
        <w:rPr>
          <w:rFonts w:ascii="Times New Roman;sans-serif" w:hAnsi="Times New Roman;sans-serif"/>
          <w:b w:val="false"/>
          <w:color w:val="000000"/>
          <w:sz w:val="20"/>
        </w:rPr>
        <w:t>1,101,000</w:t>
      </w:r>
      <w:r>
        <w:rPr>
          <w:color w:val="000000"/>
          <w:highlight w:val="white"/>
        </w:rPr>
        <w:t xml:space="preserve"> </w:t>
      </w:r>
      <w:r>
        <w:rPr>
          <w:rFonts w:ascii="Times New Roman;sans-serif" w:hAnsi="Times New Roman;sans-serif"/>
          <w:b w:val="false"/>
          <w:color w:val="000000"/>
          <w:sz w:val="20"/>
          <w:highlight w:val="white"/>
        </w:rPr>
        <w:t xml:space="preserve">shares based on performance targets. As of March 31, 2023, we estimate vesting of approximately </w:t>
      </w:r>
      <w:r>
        <w:rPr>
          <w:rFonts w:ascii="Times New Roman;sans-serif" w:hAnsi="Times New Roman;sans-serif"/>
          <w:b w:val="false"/>
          <w:color w:val="000000"/>
          <w:sz w:val="20"/>
        </w:rPr>
        <w:t>376,000</w:t>
      </w:r>
      <w:r>
        <w:rPr>
          <w:color w:val="000000"/>
          <w:highlight w:val="white"/>
        </w:rPr>
        <w:t xml:space="preserve"> </w:t>
      </w:r>
      <w:r>
        <w:rPr>
          <w:rFonts w:ascii="Times New Roman;sans-serif" w:hAnsi="Times New Roman;sans-serif"/>
          <w:b w:val="false"/>
          <w:color w:val="000000"/>
          <w:sz w:val="20"/>
          <w:highlight w:val="white"/>
        </w:rPr>
        <w:t xml:space="preserve">shares based on expected achievement of performance targets. </w:t>
      </w:r>
    </w:p>
    <w:p>
      <w:pPr>
        <w:pStyle w:val="TextBody"/>
        <w:spacing w:before="0" w:after="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5.Derivative Instruments and Hedges</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Our risk management and foreign currency derivatives and hedging policy specifies the conditions under which we may enter into derivative contracts. See Notes 1 and 8 to our consolidated financial statements included in our 2022 Annual Report and </w:t>
      </w:r>
      <w:r>
        <w:rPr>
          <w:rFonts w:ascii="Times New Roman;sans-serif" w:hAnsi="Times New Roman;sans-serif"/>
          <w:b w:val="false"/>
          <w:color w:val="000000"/>
          <w:sz w:val="20"/>
          <w:highlight w:val="white"/>
        </w:rPr>
        <w:t>Note 7 o</w:t>
      </w:r>
      <w:r>
        <w:rPr>
          <w:rFonts w:ascii="Times New Roman;sans-serif" w:hAnsi="Times New Roman;sans-serif"/>
          <w:b w:val="false"/>
          <w:color w:val="000000"/>
          <w:sz w:val="20"/>
        </w:rPr>
        <w:t>f this Quarterly Report for additional information on our derivatives. We enter into foreign exchange forward contracts to hedge our cash flow risks associated with transactions denominated in currencies other than the local currency of the operation engaging in the transaction. We have not elected hedge accounting for our foreign exchange forward contracts and the changes in the fair values are recognized immediately in our condensed consolidated statements of income.</w:t>
      </w:r>
    </w:p>
    <w:p>
      <w:pPr>
        <w:pStyle w:val="TextBody"/>
        <w:spacing w:lineRule="auto" w:line="288" w:before="120" w:after="283"/>
        <w:ind w:left="0" w:right="0" w:firstLine="360"/>
        <w:jc w:val="both"/>
        <w:rPr/>
      </w:pPr>
      <w:r>
        <w:rPr>
          <w:rFonts w:ascii="Times New Roman;sans-serif" w:hAnsi="Times New Roman;sans-serif"/>
          <w:b w:val="false"/>
          <w:color w:val="000000"/>
          <w:sz w:val="20"/>
        </w:rPr>
        <w:t>Forei</w:t>
      </w:r>
      <w:r>
        <w:rPr>
          <w:rFonts w:ascii="Times New Roman;sans-serif" w:hAnsi="Times New Roman;sans-serif"/>
          <w:b w:val="false"/>
          <w:color w:val="000000"/>
          <w:sz w:val="20"/>
          <w:highlight w:val="white"/>
        </w:rPr>
        <w:t>gn exchange forward contr</w:t>
      </w:r>
      <w:r>
        <w:rPr>
          <w:rFonts w:ascii="Times New Roman;sans-serif" w:hAnsi="Times New Roman;sans-serif"/>
          <w:b w:val="false"/>
          <w:color w:val="000000"/>
          <w:sz w:val="20"/>
        </w:rPr>
        <w:t xml:space="preserve">acts with third parties had a notional value of $544.0 million and $459.2 million at March 31, 2023 and December 31, 2022, respectively. At March 31, 2023, the length of foreign exchange forward contracts currently in place ranged from 17 days to 23 months.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We are exposed to risk from credit-related losses resulting from non</w:t>
      </w:r>
      <w:r>
        <w:rPr>
          <w:rFonts w:ascii="Times New Roman;sans-serif" w:hAnsi="Times New Roman;sans-serif"/>
          <w:b w:val="false"/>
          <w:color w:val="000000"/>
          <w:sz w:val="20"/>
        </w:rPr>
        <w:t>performance by counterparties to our financial instruments. We perform credit evaluations of our counterparties under foreign exchange forward contracts agreements and expect all counterparties to meet their obligations. We have not experienced credit losses from our counterparties.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fair values of foreign exchange forward contracts are summarized below:</w:t>
      </w:r>
    </w:p>
    <w:tbl>
      <w:tblPr>
        <w:tblW w:w="5337" w:type="dxa"/>
        <w:jc w:val="left"/>
        <w:tblInd w:w="0" w:type="dxa"/>
        <w:tblCellMar>
          <w:top w:w="28" w:type="dxa"/>
          <w:left w:w="28" w:type="dxa"/>
          <w:bottom w:w="28" w:type="dxa"/>
          <w:right w:w="28" w:type="dxa"/>
        </w:tblCellMar>
      </w:tblPr>
      <w:tblGrid>
        <w:gridCol w:w="989"/>
        <w:gridCol w:w="869"/>
        <w:gridCol w:w="872"/>
        <w:gridCol w:w="220"/>
        <w:gridCol w:w="642"/>
        <w:gridCol w:w="113"/>
        <w:gridCol w:w="109"/>
        <w:gridCol w:w="109"/>
        <w:gridCol w:w="109"/>
        <w:gridCol w:w="280"/>
        <w:gridCol w:w="819"/>
        <w:gridCol w:w="206"/>
      </w:tblGrid>
      <w:tr>
        <w:trPr/>
        <w:tc>
          <w:tcPr>
            <w:tcW w:w="989" w:type="dxa"/>
            <w:tcBorders/>
            <w:shd w:fill="auto" w:val="clear"/>
            <w:vAlign w:val="center"/>
          </w:tcPr>
          <w:p>
            <w:pPr>
              <w:pStyle w:val="TableContents"/>
              <w:spacing w:before="0" w:after="283"/>
              <w:rPr>
                <w:sz w:val="4"/>
                <w:szCs w:val="4"/>
              </w:rPr>
            </w:pPr>
            <w:r>
              <w:rPr>
                <w:sz w:val="4"/>
                <w:szCs w:val="4"/>
              </w:rPr>
            </w:r>
          </w:p>
        </w:tc>
        <w:tc>
          <w:tcPr>
            <w:tcW w:w="869" w:type="dxa"/>
            <w:tcBorders/>
            <w:shd w:fill="auto" w:val="clear"/>
            <w:vAlign w:val="center"/>
          </w:tcPr>
          <w:p>
            <w:pPr>
              <w:pStyle w:val="TableContents"/>
              <w:spacing w:before="0" w:after="283"/>
              <w:rPr>
                <w:sz w:val="4"/>
                <w:szCs w:val="4"/>
              </w:rPr>
            </w:pPr>
            <w:r>
              <w:rPr>
                <w:sz w:val="4"/>
                <w:szCs w:val="4"/>
              </w:rPr>
            </w:r>
          </w:p>
        </w:tc>
        <w:tc>
          <w:tcPr>
            <w:tcW w:w="872"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819"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r>
      <w:tr>
        <w:trPr/>
        <w:tc>
          <w:tcPr>
            <w:tcW w:w="27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March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273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9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27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Current derivative assets</w:t>
            </w:r>
          </w:p>
        </w:tc>
        <w:tc>
          <w:tcPr>
            <w:tcW w:w="22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4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3,297 </w:t>
            </w:r>
          </w:p>
        </w:tc>
        <w:tc>
          <w:tcPr>
            <w:tcW w:w="1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1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2,207 </w:t>
            </w:r>
          </w:p>
        </w:tc>
        <w:tc>
          <w:tcPr>
            <w:tcW w:w="20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73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Noncurrent derivative assets</w:t>
            </w:r>
          </w:p>
        </w:tc>
        <w:tc>
          <w:tcPr>
            <w:tcW w:w="86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53 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20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7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Current derivative liabilities</w:t>
            </w:r>
          </w:p>
        </w:tc>
        <w:tc>
          <w:tcPr>
            <w:tcW w:w="86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5,633 </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4,422 </w:t>
            </w:r>
          </w:p>
        </w:tc>
        <w:tc>
          <w:tcPr>
            <w:tcW w:w="20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73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Noncurrent derivative liabilities</w:t>
            </w:r>
          </w:p>
        </w:tc>
        <w:tc>
          <w:tcPr>
            <w:tcW w:w="86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73 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63 </w:t>
            </w:r>
          </w:p>
        </w:tc>
        <w:tc>
          <w:tcPr>
            <w:tcW w:w="20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0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Current and noncurrent derivative assets are reported in our condensed consolidated balance sheets in prepaid expenses and other and other assets, net, respectively. Current and noncurrent derivative liabilities are reported in our condensed consolidated balance sheets in accrued liabilities and retirement obligations and other liabilities, respectively.</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impact of net changes in the fair values of foreign exchange forward contracts are summarized below:</w:t>
      </w:r>
    </w:p>
    <w:tbl>
      <w:tblPr>
        <w:tblW w:w="6297" w:type="dxa"/>
        <w:jc w:val="center"/>
        <w:tblInd w:w="0" w:type="dxa"/>
        <w:tblCellMar>
          <w:top w:w="28" w:type="dxa"/>
          <w:left w:w="28" w:type="dxa"/>
          <w:bottom w:w="28" w:type="dxa"/>
          <w:right w:w="28" w:type="dxa"/>
        </w:tblCellMar>
      </w:tblPr>
      <w:tblGrid>
        <w:gridCol w:w="1098"/>
        <w:gridCol w:w="964"/>
        <w:gridCol w:w="967"/>
        <w:gridCol w:w="250"/>
        <w:gridCol w:w="821"/>
        <w:gridCol w:w="129"/>
        <w:gridCol w:w="129"/>
        <w:gridCol w:w="129"/>
        <w:gridCol w:w="129"/>
        <w:gridCol w:w="250"/>
        <w:gridCol w:w="821"/>
        <w:gridCol w:w="129"/>
        <w:gridCol w:w="109"/>
        <w:gridCol w:w="109"/>
        <w:gridCol w:w="109"/>
        <w:gridCol w:w="154"/>
      </w:tblGrid>
      <w:tr>
        <w:trPr/>
        <w:tc>
          <w:tcPr>
            <w:tcW w:w="1098" w:type="dxa"/>
            <w:tcBorders/>
            <w:shd w:fill="auto" w:val="clear"/>
            <w:vAlign w:val="center"/>
          </w:tcPr>
          <w:p>
            <w:pPr>
              <w:pStyle w:val="TableContents"/>
              <w:spacing w:before="0" w:after="283"/>
              <w:rPr>
                <w:sz w:val="4"/>
                <w:szCs w:val="4"/>
              </w:rPr>
            </w:pPr>
            <w:r>
              <w:rPr>
                <w:sz w:val="4"/>
                <w:szCs w:val="4"/>
              </w:rPr>
            </w:r>
          </w:p>
        </w:tc>
        <w:tc>
          <w:tcPr>
            <w:tcW w:w="964" w:type="dxa"/>
            <w:tcBorders/>
            <w:shd w:fill="auto" w:val="clear"/>
            <w:vAlign w:val="center"/>
          </w:tcPr>
          <w:p>
            <w:pPr>
              <w:pStyle w:val="TableContents"/>
              <w:spacing w:before="0" w:after="283"/>
              <w:rPr>
                <w:sz w:val="4"/>
                <w:szCs w:val="4"/>
              </w:rPr>
            </w:pPr>
            <w:r>
              <w:rPr>
                <w:sz w:val="4"/>
                <w:szCs w:val="4"/>
              </w:rPr>
            </w:r>
          </w:p>
        </w:tc>
        <w:tc>
          <w:tcPr>
            <w:tcW w:w="967"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821"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821"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02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787"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02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20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8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0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Gains (losses) recognized in income</w:t>
            </w:r>
          </w:p>
        </w:tc>
        <w:tc>
          <w:tcPr>
            <w:tcW w:w="25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(1,983)</w:t>
            </w:r>
          </w:p>
        </w:tc>
        <w:tc>
          <w:tcPr>
            <w:tcW w:w="12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8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(2,359)</w:t>
            </w:r>
          </w:p>
        </w:tc>
        <w:tc>
          <w:tcPr>
            <w:tcW w:w="12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24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Gains and losses recognized in our condensed consolidated statements of income for foreign exchange forward contracts are classified as other income (expense), net.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As a means of managing the volatility of foreign currency exposure with the Euro/U.S. dollar exchange rate, we entered into cross-currency swap agreements ("Swaps") as a hedge of our Euro investment in certain of our international subsidiaries. Accordingly, on April 14, 2021 and March 9, 2021, we entered into Swaps, with both having termination dates of October 1, 2030 and the March 9, 2021 cross currency swap having an early termination date of March 11, 2025</w:t>
      </w:r>
      <w:r>
        <w:rPr>
          <w:rFonts w:ascii="Times New Roman;sans-serif" w:hAnsi="Times New Roman;sans-serif"/>
          <w:b w:val="false"/>
          <w:color w:val="000000"/>
          <w:sz w:val="20"/>
        </w:rPr>
        <w:t>. Also, d</w:t>
      </w:r>
      <w:r>
        <w:rPr>
          <w:rFonts w:ascii="Times New Roman;sans-serif" w:hAnsi="Times New Roman;sans-serif"/>
          <w:b w:val="false"/>
          <w:color w:val="000000"/>
          <w:sz w:val="20"/>
          <w:highlight w:val="white"/>
        </w:rPr>
        <w:t>uring the third quarter of 2020 we entered into a cross currency swap agreement with a termination date of October 1, 2030 and</w:t>
      </w:r>
      <w:r>
        <w:rPr>
          <w:color w:val="000000"/>
        </w:rPr>
        <w:t xml:space="preserve"> </w:t>
      </w:r>
      <w:r>
        <w:rPr>
          <w:rFonts w:ascii="Times New Roman;sans-serif" w:hAnsi="Times New Roman;sans-serif"/>
          <w:b w:val="false"/>
          <w:color w:val="000000"/>
          <w:sz w:val="20"/>
        </w:rPr>
        <w:t>an early termination date of September 22, 2025. The swap agreements were</w:t>
      </w:r>
      <w:r>
        <w:rPr>
          <w:color w:val="000000"/>
          <w:highlight w:val="white"/>
        </w:rPr>
        <w:t xml:space="preserve"> </w:t>
      </w:r>
      <w:r>
        <w:rPr>
          <w:rFonts w:ascii="Times New Roman;sans-serif" w:hAnsi="Times New Roman;sans-serif"/>
          <w:b w:val="false"/>
          <w:color w:val="000000"/>
          <w:sz w:val="20"/>
          <w:highlight w:val="white"/>
        </w:rPr>
        <w:t xml:space="preserve">designated as net investment hedges and classified as Level II under the fair value hierarchy. On December 20, 2022 all outstanding swap agreements were early terminated resulting in net cash proceeds received of $66.0 million. Prior to the early termination the cross-currency swaps had a combined notional value of €423.2 million and a fair value of $68.2 million.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Prior to early termination we excluded the interest accruals on the swaps from the assessment of hedge effectiveness and recognize the interest accruals in earnings within interest expense. For each reporting period, the change in the fair value of the swaps attributable to changes in the spot rate and differences between the change in the fair value of the excluded components and the amounts recognized in earnings under the swap accrual process are reported in accumulate</w:t>
      </w:r>
      <w:r>
        <w:rPr>
          <w:rFonts w:ascii="Times New Roman;sans-serif" w:hAnsi="Times New Roman;sans-serif"/>
          <w:b w:val="false"/>
          <w:color w:val="000000"/>
          <w:sz w:val="20"/>
        </w:rPr>
        <w:t>d other comprehensive loss ("AOCL") on our consolidated balance sheet. For the three months ending March 31, 2022 an interest accrual of $2.0 million was recognized within interest expense in our condensed consolidated statements of income.</w:t>
      </w:r>
    </w:p>
    <w:p>
      <w:pPr>
        <w:pStyle w:val="TextBody"/>
        <w:spacing w:lineRule="auto" w:line="288" w:before="120" w:after="283"/>
        <w:ind w:left="0" w:right="0" w:firstLine="360"/>
        <w:jc w:val="both"/>
        <w:rPr>
          <w:rFonts w:ascii="Times New Roman;sans-serif" w:hAnsi="Times New Roman;sans-serif"/>
          <w:b w:val="false"/>
          <w:color w:val="000000"/>
          <w:sz w:val="20"/>
          <w:highlight w:val="white"/>
        </w:rPr>
      </w:pPr>
      <w:r>
        <w:rPr>
          <w:rFonts w:ascii="Times New Roman;sans-serif" w:hAnsi="Times New Roman;sans-serif"/>
          <w:b w:val="false"/>
          <w:color w:val="000000"/>
          <w:sz w:val="20"/>
          <w:highlight w:val="white"/>
        </w:rPr>
        <w:t>The cumulative net investment hedge (gains) losses, net of deferred taxes, under cross-currency swaps recorded in AOCL on our condensed consolidated balance sheet are summarized below:</w:t>
      </w:r>
    </w:p>
    <w:tbl>
      <w:tblPr>
        <w:tblW w:w="6298" w:type="dxa"/>
        <w:jc w:val="center"/>
        <w:tblInd w:w="0" w:type="dxa"/>
        <w:tblCellMar>
          <w:top w:w="28" w:type="dxa"/>
          <w:left w:w="28" w:type="dxa"/>
          <w:bottom w:w="28" w:type="dxa"/>
          <w:right w:w="28" w:type="dxa"/>
        </w:tblCellMar>
      </w:tblPr>
      <w:tblGrid>
        <w:gridCol w:w="1096"/>
        <w:gridCol w:w="964"/>
        <w:gridCol w:w="969"/>
        <w:gridCol w:w="271"/>
        <w:gridCol w:w="522"/>
        <w:gridCol w:w="140"/>
        <w:gridCol w:w="140"/>
        <w:gridCol w:w="140"/>
        <w:gridCol w:w="140"/>
        <w:gridCol w:w="271"/>
        <w:gridCol w:w="1024"/>
        <w:gridCol w:w="140"/>
        <w:gridCol w:w="109"/>
        <w:gridCol w:w="109"/>
        <w:gridCol w:w="109"/>
        <w:gridCol w:w="154"/>
      </w:tblGrid>
      <w:tr>
        <w:trPr/>
        <w:tc>
          <w:tcPr>
            <w:tcW w:w="1096" w:type="dxa"/>
            <w:tcBorders/>
            <w:shd w:fill="auto" w:val="clear"/>
            <w:vAlign w:val="center"/>
          </w:tcPr>
          <w:p>
            <w:pPr>
              <w:pStyle w:val="TableContents"/>
              <w:spacing w:before="0" w:after="283"/>
              <w:rPr>
                <w:sz w:val="4"/>
                <w:szCs w:val="4"/>
              </w:rPr>
            </w:pPr>
            <w:r>
              <w:rPr>
                <w:sz w:val="4"/>
                <w:szCs w:val="4"/>
              </w:rPr>
            </w:r>
          </w:p>
        </w:tc>
        <w:tc>
          <w:tcPr>
            <w:tcW w:w="964" w:type="dxa"/>
            <w:tcBorders/>
            <w:shd w:fill="auto" w:val="clear"/>
            <w:vAlign w:val="center"/>
          </w:tcPr>
          <w:p>
            <w:pPr>
              <w:pStyle w:val="TableContents"/>
              <w:spacing w:before="0" w:after="283"/>
              <w:rPr>
                <w:sz w:val="4"/>
                <w:szCs w:val="4"/>
              </w:rPr>
            </w:pPr>
            <w:r>
              <w:rPr>
                <w:sz w:val="4"/>
                <w:szCs w:val="4"/>
              </w:rPr>
            </w:r>
          </w:p>
        </w:tc>
        <w:tc>
          <w:tcPr>
            <w:tcW w:w="969"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52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102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02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788"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02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thousands)</w:t>
            </w:r>
          </w:p>
        </w:tc>
        <w:tc>
          <w:tcPr>
            <w:tcW w:w="93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2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3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0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(Gain) loss-included component (1)</w:t>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2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(25,385)</w:t>
            </w:r>
          </w:p>
        </w:tc>
        <w:tc>
          <w:tcPr>
            <w:tcW w:w="1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02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(Gain) loss-excluded component (2)</w:t>
            </w:r>
          </w:p>
        </w:tc>
        <w:tc>
          <w:tcPr>
            <w:tcW w:w="79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(874)</w:t>
            </w:r>
          </w:p>
        </w:tc>
        <w:tc>
          <w:tcPr>
            <w:tcW w:w="14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0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(Gain) loss recognized in AOCL</w:t>
            </w:r>
          </w:p>
        </w:tc>
        <w:tc>
          <w:tcPr>
            <w:tcW w:w="27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4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42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2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(26,259)</w:t>
            </w:r>
          </w:p>
        </w:tc>
        <w:tc>
          <w:tcPr>
            <w:tcW w:w="14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_____________________________________________</w:t>
      </w:r>
    </w:p>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(1) Change in the fair value of the swaps attributable to changes in spot rates.</w:t>
      </w:r>
    </w:p>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 xml:space="preserve">(2) Change in the fair value of the swaps due to changes other than those attributable to spot rates. </w:t>
      </w:r>
    </w:p>
    <w:p>
      <w:pPr>
        <w:pStyle w:val="TextBody"/>
        <w:spacing w:before="120" w:after="283"/>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5">
                <wp:simplePos x="0" y="0"/>
                <wp:positionH relativeFrom="character">
                  <wp:align>left</wp:align>
                </wp:positionH>
                <wp:positionV relativeFrom="line">
                  <wp:posOffset>635</wp:posOffset>
                </wp:positionV>
                <wp:extent cx="6480175" cy="351155"/>
                <wp:effectExtent l="0" t="0" r="0" b="0"/>
                <wp:wrapNone/>
                <wp:docPr id="14" name="Frame1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11</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6.Debt</w:t>
      </w:r>
    </w:p>
    <w:p>
      <w:pPr>
        <w:pStyle w:val="TextBody"/>
        <w:spacing w:lineRule="auto" w:line="256" w:before="120" w:after="283"/>
        <w:ind w:left="0" w:right="0" w:firstLine="360"/>
        <w:rPr>
          <w:rFonts w:ascii="Times New Roman;sans-serif" w:hAnsi="Times New Roman;sans-serif"/>
          <w:b w:val="false"/>
          <w:color w:val="000000"/>
          <w:sz w:val="20"/>
        </w:rPr>
      </w:pPr>
      <w:r>
        <w:rPr>
          <w:rFonts w:ascii="Times New Roman;sans-serif" w:hAnsi="Times New Roman;sans-serif"/>
          <w:b w:val="false"/>
          <w:color w:val="000000"/>
          <w:sz w:val="20"/>
        </w:rPr>
        <w:t>Debt, including finance lease obligations, net of discounts and debt issuance costs, consisted of:</w:t>
      </w:r>
    </w:p>
    <w:tbl>
      <w:tblPr>
        <w:tblW w:w="10205" w:type="dxa"/>
        <w:jc w:val="left"/>
        <w:tblInd w:w="0" w:type="dxa"/>
        <w:tblCellMar>
          <w:top w:w="28" w:type="dxa"/>
          <w:left w:w="28" w:type="dxa"/>
          <w:bottom w:w="28" w:type="dxa"/>
          <w:right w:w="28" w:type="dxa"/>
        </w:tblCellMar>
      </w:tblPr>
      <w:tblGrid>
        <w:gridCol w:w="2673"/>
        <w:gridCol w:w="2222"/>
        <w:gridCol w:w="2237"/>
        <w:gridCol w:w="211"/>
        <w:gridCol w:w="976"/>
        <w:gridCol w:w="109"/>
        <w:gridCol w:w="109"/>
        <w:gridCol w:w="109"/>
        <w:gridCol w:w="109"/>
        <w:gridCol w:w="227"/>
        <w:gridCol w:w="1054"/>
        <w:gridCol w:w="169"/>
      </w:tblGrid>
      <w:tr>
        <w:trPr/>
        <w:tc>
          <w:tcPr>
            <w:tcW w:w="2673" w:type="dxa"/>
            <w:tcBorders/>
            <w:shd w:fill="auto" w:val="clear"/>
            <w:vAlign w:val="center"/>
          </w:tcPr>
          <w:p>
            <w:pPr>
              <w:pStyle w:val="TableContents"/>
              <w:spacing w:before="0" w:after="283"/>
              <w:rPr>
                <w:sz w:val="4"/>
                <w:szCs w:val="4"/>
              </w:rPr>
            </w:pPr>
            <w:r>
              <w:rPr>
                <w:sz w:val="4"/>
                <w:szCs w:val="4"/>
              </w:rPr>
            </w:r>
          </w:p>
        </w:tc>
        <w:tc>
          <w:tcPr>
            <w:tcW w:w="2222" w:type="dxa"/>
            <w:tcBorders/>
            <w:shd w:fill="auto" w:val="clear"/>
            <w:vAlign w:val="center"/>
          </w:tcPr>
          <w:p>
            <w:pPr>
              <w:pStyle w:val="TableContents"/>
              <w:spacing w:before="0" w:after="283"/>
              <w:rPr>
                <w:sz w:val="4"/>
                <w:szCs w:val="4"/>
              </w:rPr>
            </w:pPr>
            <w:r>
              <w:rPr>
                <w:sz w:val="4"/>
                <w:szCs w:val="4"/>
              </w:rPr>
            </w:r>
          </w:p>
        </w:tc>
        <w:tc>
          <w:tcPr>
            <w:tcW w:w="2237"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r>
      <w:tr>
        <w:trPr/>
        <w:tc>
          <w:tcPr>
            <w:tcW w:w="71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March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0"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color w:val="000000"/>
              </w:rPr>
              <w:t>  </w:t>
            </w:r>
            <w:r>
              <w:rPr>
                <w:rFonts w:ascii="Times New Roman;sans-serif" w:hAnsi="Times New Roman;sans-serif"/>
                <w:b/>
                <w:color w:val="000000"/>
                <w:sz w:val="20"/>
              </w:rPr>
              <w:t>December 31,</w:t>
            </w:r>
            <w:r>
              <w:rPr>
                <w:color w:val="000000"/>
              </w:rPr>
              <w:t>  </w:t>
            </w:r>
          </w:p>
        </w:tc>
      </w:tr>
      <w:tr>
        <w:trPr/>
        <w:tc>
          <w:tcPr>
            <w:tcW w:w="713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 except percentages)</w:t>
            </w:r>
          </w:p>
        </w:tc>
        <w:tc>
          <w:tcPr>
            <w:tcW w:w="129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7132"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3.50% USD Senior Notes due October 1, 2030, net of unamortized discount and debt issuance costs of $4,913 and $5,055, respectively</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495,087 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5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494,945 </w:t>
            </w:r>
          </w:p>
        </w:tc>
        <w:tc>
          <w:tcPr>
            <w:tcW w:w="16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32"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2.80% USD Senior Notes due January 15, 2032, net of unamortized discount and debt issuance costs of $5,588 and $5,727, respectively</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494,412 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494,273 </w:t>
            </w:r>
          </w:p>
        </w:tc>
        <w:tc>
          <w:tcPr>
            <w:tcW w:w="16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32"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Term Loan Facility, interest rate of 6.25% at March 31, 2023 and 5.98% at December 31, 2022, net of debt issuance costs of $400 and $444, respectively</w:t>
            </w:r>
          </w:p>
        </w:tc>
        <w:tc>
          <w:tcPr>
            <w:tcW w:w="118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249,600 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259,556 </w:t>
            </w:r>
          </w:p>
        </w:tc>
        <w:tc>
          <w:tcPr>
            <w:tcW w:w="16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3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Finance lease obligations and other borrowings</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23,457 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24,712 </w:t>
            </w:r>
          </w:p>
        </w:tc>
        <w:tc>
          <w:tcPr>
            <w:tcW w:w="16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3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Debt and finance lease obligations</w:t>
            </w:r>
          </w:p>
        </w:tc>
        <w:tc>
          <w:tcPr>
            <w:tcW w:w="118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1,262,556 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1,273,486 </w:t>
            </w:r>
          </w:p>
        </w:tc>
        <w:tc>
          <w:tcPr>
            <w:tcW w:w="16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3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Less amounts due within one year</w:t>
            </w:r>
          </w:p>
        </w:tc>
        <w:tc>
          <w:tcPr>
            <w:tcW w:w="118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53,387 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49,335 </w:t>
            </w:r>
          </w:p>
        </w:tc>
        <w:tc>
          <w:tcPr>
            <w:tcW w:w="16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32"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 debt due after one year</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7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1,209,169 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1,224,151 </w:t>
            </w:r>
          </w:p>
        </w:tc>
        <w:tc>
          <w:tcPr>
            <w:tcW w:w="16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0"/>
        <w:jc w:val="both"/>
        <w:rPr/>
      </w:pPr>
      <w:r>
        <w:rPr/>
      </w:r>
    </w:p>
    <w:p>
      <w:pPr>
        <w:pStyle w:val="TextBody"/>
        <w:spacing w:lineRule="auto" w:line="288" w:before="0" w:after="100"/>
        <w:jc w:val="both"/>
        <w:rPr>
          <w:rFonts w:ascii="Times New Roman;sans-serif" w:hAnsi="Times New Roman;sans-serif"/>
          <w:b/>
          <w:color w:val="000000"/>
          <w:sz w:val="20"/>
        </w:rPr>
      </w:pPr>
      <w:r>
        <w:rPr>
          <w:rFonts w:ascii="Times New Roman;sans-serif" w:hAnsi="Times New Roman;sans-serif"/>
          <w:b/>
          <w:color w:val="000000"/>
          <w:sz w:val="20"/>
        </w:rPr>
        <w:t>Senior Credit Facility</w:t>
      </w:r>
    </w:p>
    <w:p>
      <w:pPr>
        <w:pStyle w:val="TextBody"/>
        <w:spacing w:lineRule="auto" w:line="288" w:before="0" w:after="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As discussed in Note 12 to our consolidated financial statements included in our 2022 Annual Report, our credit agreement (the "Senior Credit Agreement") provides a $800.0 million unsecured revolving credit facility (the "Revolving Credit Facility"), which includes a $750.0 million sublimit for the issuance of letters of credit and a $30.0 million sublimit for swing line loans, and a $300 million unsecured term loan facility (the "Term Loan Facility") with a maturity date of September 13, 2026.</w:t>
      </w:r>
    </w:p>
    <w:p>
      <w:pPr>
        <w:pStyle w:val="TextBody"/>
        <w:spacing w:lineRule="auto" w:line="288" w:before="120" w:after="283"/>
        <w:ind w:left="0" w:right="0" w:firstLine="360"/>
        <w:jc w:val="both"/>
        <w:rPr/>
      </w:pPr>
      <w:r>
        <w:rPr>
          <w:rFonts w:ascii="Times New Roman;sans-serif" w:hAnsi="Times New Roman;sans-serif"/>
          <w:b w:val="false"/>
          <w:color w:val="000000"/>
          <w:sz w:val="20"/>
        </w:rPr>
        <w:t>The interest rates per annum applicable to the Revolving Credit Facility, other than with respect to swing line loans, are Term Secured Overnight Financing Rate ("Term SOFR") plus between 1.000% to 1.750%, depending on our debt rating by either Moody’s Investors Service, Inc. ("Moody's") or Standard &amp; Poor’s Financial Services LLC ("S&amp;P"), or, at our option, the Base Rate (as defined in the Senior Credit Agreement) plus between 0.000% to 0.750% depending on our debt rating by either Moo</w:t>
      </w:r>
      <w:r>
        <w:rPr>
          <w:rFonts w:ascii="Times New Roman;sans-serif" w:hAnsi="Times New Roman;sans-serif"/>
          <w:b w:val="false"/>
          <w:color w:val="000000"/>
          <w:sz w:val="20"/>
          <w:highlight w:val="white"/>
        </w:rPr>
        <w:t xml:space="preserve">dy’s or S&amp;P. At March 31, 2023, the interest rate on the Revolving </w:t>
      </w:r>
      <w:r>
        <w:rPr>
          <w:rFonts w:ascii="Times New Roman;sans-serif" w:hAnsi="Times New Roman;sans-serif"/>
          <w:b w:val="false"/>
          <w:color w:val="000000"/>
          <w:sz w:val="20"/>
        </w:rPr>
        <w:t>Credit Facility</w:t>
      </w:r>
      <w:r>
        <w:rPr>
          <w:color w:val="000000"/>
          <w:highlight w:val="white"/>
        </w:rPr>
        <w:t xml:space="preserve"> </w:t>
      </w:r>
      <w:r>
        <w:rPr>
          <w:rFonts w:ascii="Times New Roman;sans-serif" w:hAnsi="Times New Roman;sans-serif"/>
          <w:b w:val="false"/>
          <w:color w:val="000000"/>
          <w:sz w:val="20"/>
          <w:highlight w:val="white"/>
        </w:rPr>
        <w:t xml:space="preserve">was Term SOFR plus </w:t>
      </w:r>
      <w:r>
        <w:rPr>
          <w:rFonts w:ascii="Times New Roman;sans-serif" w:hAnsi="Times New Roman;sans-serif"/>
          <w:b w:val="false"/>
          <w:color w:val="000000"/>
          <w:sz w:val="20"/>
        </w:rPr>
        <w:t>1.375%</w:t>
      </w:r>
      <w:r>
        <w:rPr>
          <w:color w:val="000000"/>
          <w:highlight w:val="white"/>
        </w:rPr>
        <w:t xml:space="preserve"> </w:t>
      </w:r>
      <w:r>
        <w:rPr>
          <w:rFonts w:ascii="Times New Roman;sans-serif" w:hAnsi="Times New Roman;sans-serif"/>
          <w:b w:val="false"/>
          <w:color w:val="000000"/>
          <w:sz w:val="20"/>
          <w:highlight w:val="white"/>
        </w:rPr>
        <w:t xml:space="preserve">in the case of Term SOFR loans and the Base Rate plus </w:t>
      </w:r>
      <w:r>
        <w:rPr>
          <w:rFonts w:ascii="Times New Roman;sans-serif" w:hAnsi="Times New Roman;sans-serif"/>
          <w:b w:val="false"/>
          <w:color w:val="000000"/>
          <w:sz w:val="20"/>
        </w:rPr>
        <w:t>0.375%</w:t>
      </w:r>
      <w:r>
        <w:rPr>
          <w:color w:val="000000"/>
          <w:highlight w:val="white"/>
        </w:rPr>
        <w:t xml:space="preserve"> </w:t>
      </w:r>
      <w:r>
        <w:rPr>
          <w:rFonts w:ascii="Times New Roman;sans-serif" w:hAnsi="Times New Roman;sans-serif"/>
          <w:b w:val="false"/>
          <w:color w:val="000000"/>
          <w:sz w:val="20"/>
          <w:highlight w:val="white"/>
        </w:rPr>
        <w:t xml:space="preserve">in the case of Base Rate loans. In addition, a commitment fee is payable quarterly in arrears on the daily unused portions of the Revolving </w:t>
      </w:r>
      <w:r>
        <w:rPr>
          <w:rFonts w:ascii="Times New Roman;sans-serif" w:hAnsi="Times New Roman;sans-serif"/>
          <w:b w:val="false"/>
          <w:color w:val="000000"/>
          <w:sz w:val="20"/>
        </w:rPr>
        <w:t>Credit Facility</w:t>
      </w:r>
      <w:r>
        <w:rPr>
          <w:rFonts w:ascii="Times New Roman;sans-serif" w:hAnsi="Times New Roman;sans-serif"/>
          <w:b w:val="false"/>
          <w:color w:val="000000"/>
          <w:sz w:val="20"/>
          <w:highlight w:val="white"/>
        </w:rPr>
        <w:t>. The commitment fee will be betw</w:t>
      </w:r>
      <w:r>
        <w:rPr>
          <w:rFonts w:ascii="Times New Roman;sans-serif" w:hAnsi="Times New Roman;sans-serif"/>
          <w:b w:val="false"/>
          <w:color w:val="000000"/>
          <w:sz w:val="20"/>
        </w:rPr>
        <w:t>een 0.080% and 0.250% of unused amounts under the Revolving Credit Facility depending on our debt rating by either Moody’s or S&amp;P. The commitment f</w:t>
      </w:r>
      <w:r>
        <w:rPr>
          <w:rFonts w:ascii="Times New Roman;sans-serif" w:hAnsi="Times New Roman;sans-serif"/>
          <w:b w:val="false"/>
          <w:color w:val="000000"/>
          <w:sz w:val="20"/>
          <w:highlight w:val="white"/>
        </w:rPr>
        <w:t xml:space="preserve">ee was </w:t>
      </w:r>
      <w:r>
        <w:rPr>
          <w:rFonts w:ascii="Times New Roman;sans-serif" w:hAnsi="Times New Roman;sans-serif"/>
          <w:b w:val="false"/>
          <w:color w:val="000000"/>
          <w:sz w:val="20"/>
        </w:rPr>
        <w:t>0.175%</w:t>
      </w:r>
      <w:r>
        <w:rPr>
          <w:color w:val="000000"/>
          <w:highlight w:val="white"/>
        </w:rPr>
        <w:t xml:space="preserve"> </w:t>
      </w:r>
      <w:r>
        <w:rPr>
          <w:rFonts w:ascii="Times New Roman;sans-serif" w:hAnsi="Times New Roman;sans-serif"/>
          <w:b w:val="false"/>
          <w:color w:val="000000"/>
          <w:sz w:val="20"/>
          <w:highlight w:val="white"/>
        </w:rPr>
        <w:t>(per annum) during the period</w:t>
      </w:r>
      <w:r>
        <w:rPr>
          <w:color w:val="000000"/>
        </w:rPr>
        <w:t xml:space="preserve"> </w:t>
      </w:r>
      <w:r>
        <w:rPr>
          <w:rFonts w:ascii="Times New Roman;sans-serif" w:hAnsi="Times New Roman;sans-serif"/>
          <w:b w:val="false"/>
          <w:color w:val="000000"/>
          <w:sz w:val="20"/>
          <w:highlight w:val="white"/>
        </w:rPr>
        <w:t xml:space="preserve">ended March 31, 2023.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Under the terms and conditions of Senior Credit Agreement, interest rates per annum applicable to the Term Loan Facility are stated as Term SOFR plus between 0.875% to 1.625%, depending on the Company’s debt rating by either Moody’s or S&amp;P, or, at the option of the Company, the Base Rate plus between 0.000% to 0.625% depending on the Company’s debt rating by either Moody’s or S&amp;P.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As of March 31, 2023 and December 31, 2022, we had no revolving loans outstanding and we had outstanding letters of credit of $85.9 million and $71.7 million at March 31, 2023 and December 31, 2022, respectively. In April 2023 the Company borrowed $115.0 million on the Revolving Credit Facility for general corporate purposes and as of May 1, 2023 has $75.0 million outstanding. After consideration of the financial covenants under our Senior Credit Facility and outstanding letters of credit, as of March 31, 2023, the amount available for borrowings was limited to $464.5 million. As of December 31, 2022, the amount available for borrowings under our Revolving Credit Facility was $293.9 million. </w:t>
      </w:r>
    </w:p>
    <w:p>
      <w:pPr>
        <w:pStyle w:val="TextBody"/>
        <w:spacing w:lineRule="auto" w:line="288" w:before="120" w:after="283"/>
        <w:ind w:left="0" w:right="0" w:firstLine="360"/>
        <w:jc w:val="both"/>
        <w:rPr/>
      </w:pPr>
      <w:r>
        <w:rPr>
          <w:rFonts w:ascii="Times New Roman;sans-serif" w:hAnsi="Times New Roman;sans-serif"/>
          <w:b w:val="false"/>
          <w:color w:val="000000"/>
          <w:sz w:val="20"/>
        </w:rPr>
        <w:t>Our compliance with applicable financial covenants under the Senior Notes and Senior Credit Facility</w:t>
      </w:r>
      <w:r>
        <w:rPr>
          <w:color w:val="000000"/>
          <w:highlight w:val="white"/>
        </w:rPr>
        <w:t xml:space="preserve"> </w:t>
      </w:r>
      <w:r>
        <w:rPr>
          <w:rFonts w:ascii="Times New Roman;sans-serif" w:hAnsi="Times New Roman;sans-serif"/>
          <w:b w:val="false"/>
          <w:color w:val="000000"/>
          <w:sz w:val="20"/>
          <w:highlight w:val="white"/>
        </w:rPr>
        <w:t>are tested quarterly. We were in compliance with all applicable covenants as of March 31, 2023. We have scheduled repayments</w:t>
      </w:r>
      <w:r>
        <w:rPr>
          <w:color w:val="000000"/>
        </w:rPr>
        <w:t xml:space="preserve"> </w:t>
      </w:r>
      <w:r>
        <w:rPr>
          <w:rFonts w:ascii="Times New Roman;sans-serif" w:hAnsi="Times New Roman;sans-serif"/>
          <w:b w:val="false"/>
          <w:color w:val="000000"/>
          <w:sz w:val="20"/>
          <w:highlight w:val="white"/>
        </w:rPr>
        <w:t xml:space="preserve">of </w:t>
      </w:r>
      <w:r>
        <w:rPr>
          <w:rFonts w:ascii="Times New Roman;sans-serif" w:hAnsi="Times New Roman;sans-serif"/>
          <w:b w:val="false"/>
          <w:color w:val="000000"/>
          <w:sz w:val="20"/>
        </w:rPr>
        <w:t>$10.0 million</w:t>
      </w:r>
      <w:r>
        <w:rPr>
          <w:color w:val="000000"/>
          <w:highlight w:val="white"/>
        </w:rPr>
        <w:t xml:space="preserve"> </w:t>
      </w:r>
      <w:r>
        <w:rPr>
          <w:rFonts w:ascii="Times New Roman;sans-serif" w:hAnsi="Times New Roman;sans-serif"/>
          <w:b w:val="false"/>
          <w:color w:val="000000"/>
          <w:sz w:val="20"/>
          <w:highlight w:val="white"/>
        </w:rPr>
        <w:t xml:space="preserve">due in each of the next three quarters and $15.0 million due on March 31, 2024 on our </w:t>
      </w:r>
      <w:r>
        <w:rPr>
          <w:rFonts w:ascii="Times New Roman;sans-serif" w:hAnsi="Times New Roman;sans-serif"/>
          <w:b w:val="false"/>
          <w:color w:val="000000"/>
          <w:sz w:val="20"/>
        </w:rPr>
        <w:t>Term Loan</w:t>
      </w:r>
      <w:r>
        <w:rPr>
          <w:rFonts w:ascii="Times New Roman;sans-serif" w:hAnsi="Times New Roman;sans-serif"/>
          <w:b w:val="false"/>
          <w:color w:val="000000"/>
          <w:sz w:val="20"/>
          <w:highlight w:val="white"/>
        </w:rPr>
        <w:t>.</w:t>
      </w:r>
    </w:p>
    <w:p>
      <w:pPr>
        <w:pStyle w:val="TextBody"/>
        <w:spacing w:before="120" w:after="283"/>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6">
                <wp:simplePos x="0" y="0"/>
                <wp:positionH relativeFrom="character">
                  <wp:align>left</wp:align>
                </wp:positionH>
                <wp:positionV relativeFrom="line">
                  <wp:posOffset>635</wp:posOffset>
                </wp:positionV>
                <wp:extent cx="6480175" cy="351155"/>
                <wp:effectExtent l="0" t="0" r="0" b="0"/>
                <wp:wrapNone/>
                <wp:docPr id="15" name="Frame1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12</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7.Fair Value</w:t>
      </w:r>
    </w:p>
    <w:p>
      <w:pPr>
        <w:pStyle w:val="TextBody"/>
        <w:spacing w:lineRule="auto" w:line="288" w:before="120" w:after="283"/>
        <w:ind w:left="0" w:right="0" w:firstLine="360"/>
        <w:jc w:val="both"/>
        <w:rPr/>
      </w:pPr>
      <w:r>
        <w:rPr>
          <w:rFonts w:ascii="Times New Roman;sans-serif" w:hAnsi="Times New Roman;sans-serif"/>
          <w:b w:val="false"/>
          <w:color w:val="000000"/>
          <w:sz w:val="20"/>
        </w:rPr>
        <w:t>Fair value is defined as the price that would be received to sell an asset or paid to transfer a liability in an orderly transaction between market participants at the measurement date. Where available, fair value is based on observable market prices or parameters or derived from such prices or parameters. Where observable prices or inputs are not available, valuation models may be applied. Assets and liabilities recorded at fair value in our condensed consolidated balance sheets are categorized by hierarchical levels based upon the level of judgment</w:t>
      </w:r>
      <w:r>
        <w:rPr>
          <w:color w:val="000000"/>
          <w:highlight w:val="white"/>
        </w:rPr>
        <w:t xml:space="preserve"> </w:t>
      </w:r>
      <w:r>
        <w:rPr>
          <w:rFonts w:ascii="Times New Roman;sans-serif" w:hAnsi="Times New Roman;sans-serif"/>
          <w:b w:val="false"/>
          <w:color w:val="000000"/>
          <w:sz w:val="20"/>
          <w:highlight w:val="white"/>
        </w:rPr>
        <w:t>associa</w:t>
      </w:r>
      <w:r>
        <w:rPr>
          <w:rFonts w:ascii="Times New Roman;sans-serif" w:hAnsi="Times New Roman;sans-serif"/>
          <w:b w:val="false"/>
          <w:color w:val="000000"/>
          <w:sz w:val="20"/>
        </w:rPr>
        <w:t xml:space="preserve">ted with the inputs used to measure their fair values. Recurring fair value measurements are limited to investments in derivative instruments. The fair value measurements of our derivative instruments are determined using models that maximize the use of the observable market inputs including interest rate curves and both forward and spot prices for currencies, and are classified as Level II under the fair value hierarchy. The fair values of our derivatives are included in Note 5. </w:t>
      </w:r>
    </w:p>
    <w:p>
      <w:pPr>
        <w:pStyle w:val="TextBody"/>
        <w:spacing w:lineRule="auto" w:line="288" w:before="120" w:after="100"/>
        <w:ind w:left="0" w:right="0" w:firstLine="360"/>
        <w:jc w:val="both"/>
        <w:rPr/>
      </w:pPr>
      <w:r>
        <w:rPr>
          <w:rFonts w:ascii="Times New Roman;sans-serif" w:hAnsi="Times New Roman;sans-serif"/>
          <w:b w:val="false"/>
          <w:color w:val="000000"/>
          <w:sz w:val="20"/>
        </w:rPr>
        <w:t>The carrying value of our financial instruments as reflected in our condensed consolidated balance sheets approximates fair value, with the exception of our long-term debt. The estimated fair value of our long-term debt, excluding the Senior Notes, approximat</w:t>
      </w:r>
      <w:r>
        <w:rPr>
          <w:rFonts w:ascii="Times New Roman;sans-serif" w:hAnsi="Times New Roman;sans-serif"/>
          <w:b w:val="false"/>
          <w:color w:val="000000"/>
          <w:sz w:val="20"/>
          <w:highlight w:val="white"/>
        </w:rPr>
        <w:t>es the carrying value and is determined using Level II inputs under the fair value hier</w:t>
      </w:r>
      <w:r>
        <w:rPr>
          <w:rFonts w:ascii="Times New Roman;sans-serif" w:hAnsi="Times New Roman;sans-serif"/>
          <w:b w:val="false"/>
          <w:color w:val="000000"/>
          <w:sz w:val="20"/>
        </w:rPr>
        <w:t>archy. The carrying value of our debt is included in Note 6. The estimated fair value of our Senior Notes at March 31, 2023 was $831.7 million c</w:t>
      </w:r>
      <w:r>
        <w:rPr>
          <w:rFonts w:ascii="Times New Roman;sans-serif" w:hAnsi="Times New Roman;sans-serif"/>
          <w:b w:val="false"/>
          <w:color w:val="000000"/>
          <w:sz w:val="20"/>
          <w:highlight w:val="white"/>
        </w:rPr>
        <w:t xml:space="preserve">ompared to the carrying value of </w:t>
      </w:r>
      <w:r>
        <w:rPr>
          <w:rFonts w:ascii="Times New Roman;sans-serif" w:hAnsi="Times New Roman;sans-serif"/>
          <w:b w:val="false"/>
          <w:color w:val="000000"/>
          <w:sz w:val="20"/>
        </w:rPr>
        <w:t>$989.5 million</w:t>
      </w:r>
      <w:r>
        <w:rPr>
          <w:rFonts w:ascii="Times New Roman;sans-serif" w:hAnsi="Times New Roman;sans-serif"/>
          <w:b w:val="false"/>
          <w:color w:val="000000"/>
          <w:sz w:val="20"/>
          <w:highlight w:val="white"/>
        </w:rPr>
        <w:t>. The estimated fair value of the Senior Notes is based on Level I quoted market rates. The carrying amounts of our other financial instruments (e.g., cash and cash equivalents, accounts receivable, net, accounts payable and short-term debt) appr</w:t>
      </w:r>
      <w:r>
        <w:rPr>
          <w:rFonts w:ascii="Times New Roman;sans-serif" w:hAnsi="Times New Roman;sans-serif"/>
          <w:b w:val="false"/>
          <w:color w:val="000000"/>
          <w:sz w:val="20"/>
        </w:rPr>
        <w:t>oximated fair value due to their short-term nature at March 31, 2023 and December 31, 2022.</w:t>
      </w:r>
    </w:p>
    <w:p>
      <w:pPr>
        <w:pStyle w:val="TextBody"/>
        <w:spacing w:before="0" w:after="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8.Inventories</w:t>
      </w:r>
    </w:p>
    <w:p>
      <w:pPr>
        <w:pStyle w:val="TextBody"/>
        <w:spacing w:lineRule="auto" w:line="288" w:before="100" w:after="100"/>
        <w:ind w:left="0" w:right="0" w:firstLine="360"/>
        <w:rPr>
          <w:rFonts w:ascii="Times New Roman;sans-serif" w:hAnsi="Times New Roman;sans-serif"/>
          <w:b w:val="false"/>
          <w:color w:val="000000"/>
          <w:sz w:val="20"/>
        </w:rPr>
      </w:pPr>
      <w:r>
        <w:rPr>
          <w:rFonts w:ascii="Times New Roman;sans-serif" w:hAnsi="Times New Roman;sans-serif"/>
          <w:b w:val="false"/>
          <w:color w:val="000000"/>
          <w:sz w:val="20"/>
        </w:rPr>
        <w:t>Inventories, net consisted of the following:</w:t>
      </w:r>
    </w:p>
    <w:tbl>
      <w:tblPr>
        <w:tblW w:w="5822" w:type="dxa"/>
        <w:jc w:val="left"/>
        <w:tblInd w:w="0" w:type="dxa"/>
        <w:tblCellMar>
          <w:top w:w="28" w:type="dxa"/>
          <w:left w:w="28" w:type="dxa"/>
          <w:bottom w:w="28" w:type="dxa"/>
          <w:right w:w="28" w:type="dxa"/>
        </w:tblCellMar>
      </w:tblPr>
      <w:tblGrid>
        <w:gridCol w:w="1027"/>
        <w:gridCol w:w="902"/>
        <w:gridCol w:w="905"/>
        <w:gridCol w:w="211"/>
        <w:gridCol w:w="826"/>
        <w:gridCol w:w="109"/>
        <w:gridCol w:w="109"/>
        <w:gridCol w:w="109"/>
        <w:gridCol w:w="109"/>
        <w:gridCol w:w="268"/>
        <w:gridCol w:w="1051"/>
        <w:gridCol w:w="196"/>
      </w:tblGrid>
      <w:tr>
        <w:trPr/>
        <w:tc>
          <w:tcPr>
            <w:tcW w:w="1027"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905"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center"/>
          </w:tcPr>
          <w:p>
            <w:pPr>
              <w:pStyle w:val="TableContents"/>
              <w:spacing w:before="0" w:after="283"/>
              <w:rPr>
                <w:sz w:val="4"/>
                <w:szCs w:val="4"/>
              </w:rPr>
            </w:pPr>
            <w:r>
              <w:rPr>
                <w:sz w:val="4"/>
                <w:szCs w:val="4"/>
              </w:rPr>
            </w:r>
          </w:p>
        </w:tc>
        <w:tc>
          <w:tcPr>
            <w:tcW w:w="1051"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r>
      <w:tr>
        <w:trPr/>
        <w:tc>
          <w:tcPr>
            <w:tcW w:w="28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March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Times New Roman;sans-serif" w:hAnsi="Times New Roman;sans-serif"/>
                <w:b/>
                <w:color w:val="000000"/>
                <w:sz w:val="20"/>
              </w:rPr>
              <w:t>December 31,  </w:t>
            </w:r>
          </w:p>
        </w:tc>
      </w:tr>
      <w:tr>
        <w:trPr/>
        <w:tc>
          <w:tcPr>
            <w:tcW w:w="283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114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283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Raw materials</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404,945 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5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360,039 </w:t>
            </w:r>
          </w:p>
        </w:tc>
        <w:tc>
          <w:tcPr>
            <w:tcW w:w="19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3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Work in process</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329,170 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1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295,678 </w:t>
            </w:r>
          </w:p>
        </w:tc>
        <w:tc>
          <w:tcPr>
            <w:tcW w:w="19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3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Finished goods</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253,031 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1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245,494 </w:t>
            </w:r>
          </w:p>
        </w:tc>
        <w:tc>
          <w:tcPr>
            <w:tcW w:w="19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34"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5" w:type="dxa"/>
            <w:gridSpan w:val="3"/>
            <w:tcBorders/>
            <w:shd w:fill="auto" w:val="clear"/>
            <w:vAlign w:val="center"/>
          </w:tcPr>
          <w:p>
            <w:pPr>
              <w:pStyle w:val="TableContents"/>
              <w:spacing w:before="0" w:after="283"/>
              <w:rPr>
                <w:sz w:val="4"/>
                <w:szCs w:val="4"/>
              </w:rPr>
            </w:pPr>
            <w:r>
              <w:rPr>
                <w:sz w:val="4"/>
                <w:szCs w:val="4"/>
              </w:rPr>
            </w:r>
          </w:p>
        </w:tc>
      </w:tr>
      <w:tr>
        <w:trPr/>
        <w:tc>
          <w:tcPr>
            <w:tcW w:w="283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Less: Excess and obsolete reserve</w:t>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(104,894)</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1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(98,013)</w:t>
            </w:r>
          </w:p>
        </w:tc>
        <w:tc>
          <w:tcPr>
            <w:tcW w:w="19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83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Inventories, net</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882,252 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5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803,198 </w:t>
            </w:r>
          </w:p>
        </w:tc>
        <w:tc>
          <w:tcPr>
            <w:tcW w:w="19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9.Earnings Per Share</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following is a reconciliation of net earnings of Flowserve Corporation and weighted average shares for calculating net earnings per common share. Earnings per weighted average common share outstanding was calculated as follows: </w:t>
      </w:r>
    </w:p>
    <w:tbl>
      <w:tblPr>
        <w:tblW w:w="8127" w:type="dxa"/>
        <w:jc w:val="left"/>
        <w:tblInd w:w="0" w:type="dxa"/>
        <w:tblCellMar>
          <w:top w:w="28" w:type="dxa"/>
          <w:left w:w="28" w:type="dxa"/>
          <w:bottom w:w="28" w:type="dxa"/>
          <w:right w:w="28" w:type="dxa"/>
        </w:tblCellMar>
      </w:tblPr>
      <w:tblGrid>
        <w:gridCol w:w="1918"/>
        <w:gridCol w:w="1682"/>
        <w:gridCol w:w="1695"/>
        <w:gridCol w:w="236"/>
        <w:gridCol w:w="808"/>
        <w:gridCol w:w="122"/>
        <w:gridCol w:w="122"/>
        <w:gridCol w:w="122"/>
        <w:gridCol w:w="122"/>
        <w:gridCol w:w="236"/>
        <w:gridCol w:w="892"/>
        <w:gridCol w:w="172"/>
      </w:tblGrid>
      <w:tr>
        <w:trPr/>
        <w:tc>
          <w:tcPr>
            <w:tcW w:w="1918" w:type="dxa"/>
            <w:tcBorders/>
            <w:shd w:fill="auto" w:val="clear"/>
            <w:vAlign w:val="center"/>
          </w:tcPr>
          <w:p>
            <w:pPr>
              <w:pStyle w:val="TableContents"/>
              <w:spacing w:before="0" w:after="283"/>
              <w:rPr>
                <w:sz w:val="4"/>
                <w:szCs w:val="4"/>
              </w:rPr>
            </w:pPr>
            <w:r>
              <w:rPr>
                <w:sz w:val="4"/>
                <w:szCs w:val="4"/>
              </w:rPr>
            </w:r>
          </w:p>
        </w:tc>
        <w:tc>
          <w:tcPr>
            <w:tcW w:w="1682" w:type="dxa"/>
            <w:tcBorders/>
            <w:shd w:fill="auto" w:val="clear"/>
            <w:vAlign w:val="center"/>
          </w:tcPr>
          <w:p>
            <w:pPr>
              <w:pStyle w:val="TableContents"/>
              <w:spacing w:before="0" w:after="283"/>
              <w:rPr>
                <w:sz w:val="4"/>
                <w:szCs w:val="4"/>
              </w:rPr>
            </w:pPr>
            <w:r>
              <w:rPr>
                <w:sz w:val="4"/>
                <w:szCs w:val="4"/>
              </w:rPr>
            </w:r>
          </w:p>
        </w:tc>
        <w:tc>
          <w:tcPr>
            <w:tcW w:w="1695"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89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r>
      <w:tr>
        <w:trPr/>
        <w:tc>
          <w:tcPr>
            <w:tcW w:w="5295"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color w:val="000000"/>
              </w:rPr>
            </w:pPr>
            <w:r>
              <w:rPr>
                <w:color w:val="000000"/>
              </w:rPr>
              <w:t> </w:t>
            </w:r>
          </w:p>
        </w:tc>
        <w:tc>
          <w:tcPr>
            <w:tcW w:w="2832"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52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 except per share data)</w:t>
            </w:r>
          </w:p>
        </w:tc>
        <w:tc>
          <w:tcPr>
            <w:tcW w:w="116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0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52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earnings of Flowserve Corporation</w:t>
            </w:r>
          </w:p>
        </w:tc>
        <w:tc>
          <w:tcPr>
            <w:tcW w:w="23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0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26,766 </w:t>
            </w:r>
          </w:p>
        </w:tc>
        <w:tc>
          <w:tcPr>
            <w:tcW w:w="12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9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(15,820)</w:t>
            </w:r>
          </w:p>
        </w:tc>
        <w:tc>
          <w:tcPr>
            <w:tcW w:w="17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Dividends on restricted shares not expected to vest</w:t>
            </w:r>
          </w:p>
        </w:tc>
        <w:tc>
          <w:tcPr>
            <w:tcW w:w="104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2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Earnings attributable to common and participating shareholders</w:t>
            </w:r>
          </w:p>
        </w:tc>
        <w:tc>
          <w:tcPr>
            <w:tcW w:w="23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0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26,766 </w:t>
            </w:r>
          </w:p>
        </w:tc>
        <w:tc>
          <w:tcPr>
            <w:tcW w:w="12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9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(15,820)</w:t>
            </w:r>
          </w:p>
        </w:tc>
        <w:tc>
          <w:tcPr>
            <w:tcW w:w="17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Weighted average shares:</w:t>
            </w:r>
          </w:p>
        </w:tc>
        <w:tc>
          <w:tcPr>
            <w:tcW w:w="1166"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6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0"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52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Common stock</w:t>
            </w:r>
          </w:p>
        </w:tc>
        <w:tc>
          <w:tcPr>
            <w:tcW w:w="104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130,886 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130,410 </w:t>
            </w:r>
          </w:p>
        </w:tc>
        <w:tc>
          <w:tcPr>
            <w:tcW w:w="17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Participating securities</w:t>
            </w:r>
          </w:p>
        </w:tc>
        <w:tc>
          <w:tcPr>
            <w:tcW w:w="1044"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44 </w:t>
            </w:r>
          </w:p>
        </w:tc>
        <w:tc>
          <w:tcPr>
            <w:tcW w:w="12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Denominator for basic earnings per common share</w:t>
            </w:r>
          </w:p>
        </w:tc>
        <w:tc>
          <w:tcPr>
            <w:tcW w:w="1044"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130,930 </w:t>
            </w:r>
          </w:p>
        </w:tc>
        <w:tc>
          <w:tcPr>
            <w:tcW w:w="12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130,410 </w:t>
            </w:r>
          </w:p>
        </w:tc>
        <w:tc>
          <w:tcPr>
            <w:tcW w:w="17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Effect of potentially dilutive securities</w:t>
            </w:r>
          </w:p>
        </w:tc>
        <w:tc>
          <w:tcPr>
            <w:tcW w:w="1044"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824 </w:t>
            </w:r>
          </w:p>
        </w:tc>
        <w:tc>
          <w:tcPr>
            <w:tcW w:w="12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Denominator for diluted earnings per common share</w:t>
            </w:r>
          </w:p>
        </w:tc>
        <w:tc>
          <w:tcPr>
            <w:tcW w:w="1044"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131,754 </w:t>
            </w:r>
          </w:p>
        </w:tc>
        <w:tc>
          <w:tcPr>
            <w:tcW w:w="12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130,410 </w:t>
            </w:r>
          </w:p>
        </w:tc>
        <w:tc>
          <w:tcPr>
            <w:tcW w:w="17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Earnings per common share:</w:t>
            </w:r>
          </w:p>
        </w:tc>
        <w:tc>
          <w:tcPr>
            <w:tcW w:w="1166"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6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0"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529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Basic</w:t>
            </w:r>
          </w:p>
        </w:tc>
        <w:tc>
          <w:tcPr>
            <w:tcW w:w="23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0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0.20 </w:t>
            </w:r>
          </w:p>
        </w:tc>
        <w:tc>
          <w:tcPr>
            <w:tcW w:w="12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9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(0.12)</w:t>
            </w:r>
          </w:p>
        </w:tc>
        <w:tc>
          <w:tcPr>
            <w:tcW w:w="17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9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Diluted</w:t>
            </w:r>
          </w:p>
        </w:tc>
        <w:tc>
          <w:tcPr>
            <w:tcW w:w="1044"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0.20 </w:t>
            </w:r>
          </w:p>
        </w:tc>
        <w:tc>
          <w:tcPr>
            <w:tcW w:w="12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(0.12)</w:t>
            </w:r>
          </w:p>
        </w:tc>
        <w:tc>
          <w:tcPr>
            <w:tcW w:w="17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0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Diluted earnings per share above is based upon the weighted average number of shares as determined for basic earnings per share plus shares potentially issuable in conjunction with stock options and Restricted Shares. As a result of the net loss for the </w:t>
      </w:r>
    </w:p>
    <w:p>
      <w:pPr>
        <w:pStyle w:val="HorizontalLine"/>
        <w:rPr/>
      </w:pPr>
      <w:r>
        <w:rPr/>
      </w:r>
      <w:r>
        <mc:AlternateContent>
          <mc:Choice Requires="wps">
            <w:drawing>
              <wp:anchor behindDoc="0" distT="0" distB="0" distL="0" distR="0" simplePos="0" locked="0" layoutInCell="1" allowOverlap="1" relativeHeight="17">
                <wp:simplePos x="0" y="0"/>
                <wp:positionH relativeFrom="character">
                  <wp:align>left</wp:align>
                </wp:positionH>
                <wp:positionV relativeFrom="line">
                  <wp:posOffset>635</wp:posOffset>
                </wp:positionV>
                <wp:extent cx="6480175" cy="351155"/>
                <wp:effectExtent l="0" t="0" r="0" b="0"/>
                <wp:wrapNone/>
                <wp:docPr id="16" name="Frame1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13</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00" w:after="100"/>
        <w:jc w:val="both"/>
        <w:rPr>
          <w:rFonts w:ascii="Times New Roman;sans-serif" w:hAnsi="Times New Roman;sans-serif"/>
          <w:b w:val="false"/>
          <w:color w:val="000000"/>
          <w:sz w:val="20"/>
        </w:rPr>
      </w:pPr>
      <w:r>
        <w:rPr>
          <w:rFonts w:ascii="Times New Roman;sans-serif" w:hAnsi="Times New Roman;sans-serif"/>
          <w:b w:val="false"/>
          <w:color w:val="000000"/>
          <w:sz w:val="20"/>
        </w:rPr>
        <w:t>three months ended March 31, 2022, we excluded 641,188 of unvested Restricted Shares from the calculation of diluted earnings per share due to their anti-dilutive effect.</w:t>
      </w:r>
    </w:p>
    <w:p>
      <w:pPr>
        <w:pStyle w:val="TextBody"/>
        <w:spacing w:before="100" w:after="10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10.Legal Matters and Contingencies</w:t>
      </w:r>
    </w:p>
    <w:p>
      <w:pPr>
        <w:pStyle w:val="TextBody"/>
        <w:spacing w:lineRule="auto" w:line="288" w:before="120" w:after="283"/>
        <w:ind w:left="0" w:right="0" w:firstLine="360"/>
        <w:jc w:val="both"/>
        <w:rPr>
          <w:rFonts w:ascii="Times New Roman;sans-serif" w:hAnsi="Times New Roman;sans-serif"/>
          <w:b/>
          <w:i/>
          <w:color w:val="000000"/>
          <w:sz w:val="20"/>
        </w:rPr>
      </w:pPr>
      <w:r>
        <w:rPr>
          <w:rFonts w:ascii="Times New Roman;sans-serif" w:hAnsi="Times New Roman;sans-serif"/>
          <w:b/>
          <w:i/>
          <w:color w:val="000000"/>
          <w:sz w:val="20"/>
        </w:rPr>
        <w:t>Asbestos-Related Claims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are a defendant in a substantial number of lawsuits that seek to recover damages for personal injury allegedly caused by exposure to asbestos-containing products manufactured and/or distributed by our heritage companies in the past. Typically, these lawsuits have been brought against multiple defendants in state and federal courts. While the overall number of asbestos-related claims in which we or our predecessors have been named has generally declined in recent years, there can be no assurance that this trend will continue, or that the average cost per claim to us will not further increase. Asbestos-containing materials incorporated into any such products were encapsulated and used as internal components of process equipment, and we do not believe that significant emission of asbestos fibers occurred during the use of this equipment.</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Our practice is to vigorously contest and resolve these claims, and we have been successful in resolving a majority of claims with little or no payment, other than legal fees. Activity related to asbestos claims during the periods indicated was as follows:</w:t>
      </w:r>
    </w:p>
    <w:tbl>
      <w:tblPr>
        <w:tblW w:w="5164" w:type="dxa"/>
        <w:jc w:val="left"/>
        <w:tblInd w:w="0" w:type="dxa"/>
        <w:tblCellMar>
          <w:top w:w="28" w:type="dxa"/>
          <w:left w:w="28" w:type="dxa"/>
          <w:bottom w:w="28" w:type="dxa"/>
          <w:right w:w="28" w:type="dxa"/>
        </w:tblCellMar>
      </w:tblPr>
      <w:tblGrid>
        <w:gridCol w:w="646"/>
        <w:gridCol w:w="567"/>
        <w:gridCol w:w="571"/>
        <w:gridCol w:w="310"/>
        <w:gridCol w:w="310"/>
        <w:gridCol w:w="310"/>
        <w:gridCol w:w="310"/>
        <w:gridCol w:w="310"/>
        <w:gridCol w:w="310"/>
        <w:gridCol w:w="310"/>
        <w:gridCol w:w="310"/>
        <w:gridCol w:w="310"/>
        <w:gridCol w:w="109"/>
        <w:gridCol w:w="109"/>
        <w:gridCol w:w="109"/>
        <w:gridCol w:w="109"/>
        <w:gridCol w:w="154"/>
      </w:tblGrid>
      <w:tr>
        <w:trPr/>
        <w:tc>
          <w:tcPr>
            <w:tcW w:w="646" w:type="dxa"/>
            <w:tcBorders/>
            <w:shd w:fill="auto" w:val="clear"/>
            <w:vAlign w:val="center"/>
          </w:tcPr>
          <w:p>
            <w:pPr>
              <w:pStyle w:val="TableContents"/>
              <w:spacing w:before="0" w:after="283"/>
              <w:rPr>
                <w:sz w:val="4"/>
                <w:szCs w:val="4"/>
              </w:rPr>
            </w:pPr>
            <w:r>
              <w:rPr>
                <w:sz w:val="4"/>
                <w:szCs w:val="4"/>
              </w:rPr>
            </w:r>
          </w:p>
        </w:tc>
        <w:tc>
          <w:tcPr>
            <w:tcW w:w="567" w:type="dxa"/>
            <w:tcBorders/>
            <w:shd w:fill="auto" w:val="clear"/>
            <w:vAlign w:val="center"/>
          </w:tcPr>
          <w:p>
            <w:pPr>
              <w:pStyle w:val="TableContents"/>
              <w:spacing w:before="0" w:after="283"/>
              <w:rPr>
                <w:sz w:val="4"/>
                <w:szCs w:val="4"/>
              </w:rPr>
            </w:pPr>
            <w:r>
              <w:rPr>
                <w:sz w:val="4"/>
                <w:szCs w:val="4"/>
              </w:rPr>
            </w:r>
          </w:p>
        </w:tc>
        <w:tc>
          <w:tcPr>
            <w:tcW w:w="571"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90" w:type="dxa"/>
            <w:gridSpan w:val="9"/>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17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9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Beginning claims(1)</w:t>
            </w:r>
          </w:p>
        </w:tc>
        <w:tc>
          <w:tcPr>
            <w:tcW w:w="62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8,139 </w:t>
            </w:r>
          </w:p>
        </w:tc>
        <w:tc>
          <w:tcPr>
            <w:tcW w:w="3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8,712 </w:t>
            </w:r>
          </w:p>
        </w:tc>
        <w:tc>
          <w:tcPr>
            <w:tcW w:w="3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New claims</w:t>
            </w:r>
          </w:p>
        </w:tc>
        <w:tc>
          <w:tcPr>
            <w:tcW w:w="6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577 </w:t>
            </w:r>
          </w:p>
        </w:tc>
        <w:tc>
          <w:tcPr>
            <w:tcW w:w="3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673 </w:t>
            </w:r>
          </w:p>
        </w:tc>
        <w:tc>
          <w:tcPr>
            <w:tcW w:w="3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Resolved claims</w:t>
            </w:r>
          </w:p>
        </w:tc>
        <w:tc>
          <w:tcPr>
            <w:tcW w:w="62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(640)</w:t>
            </w:r>
          </w:p>
        </w:tc>
        <w:tc>
          <w:tcPr>
            <w:tcW w:w="3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(585)</w:t>
            </w:r>
          </w:p>
        </w:tc>
        <w:tc>
          <w:tcPr>
            <w:tcW w:w="3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Other(2)</w:t>
            </w:r>
          </w:p>
        </w:tc>
        <w:tc>
          <w:tcPr>
            <w:tcW w:w="6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w:t>
            </w:r>
          </w:p>
        </w:tc>
        <w:tc>
          <w:tcPr>
            <w:tcW w:w="3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7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Ending claims(1)</w:t>
            </w:r>
          </w:p>
        </w:tc>
        <w:tc>
          <w:tcPr>
            <w:tcW w:w="62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8,071 </w:t>
            </w:r>
          </w:p>
        </w:tc>
        <w:tc>
          <w:tcPr>
            <w:tcW w:w="3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8,800 </w:t>
            </w:r>
          </w:p>
        </w:tc>
        <w:tc>
          <w:tcPr>
            <w:tcW w:w="3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0" w:after="0"/>
        <w:jc w:val="both"/>
        <w:rPr>
          <w:rFonts w:ascii="Times New Roman;sans-serif" w:hAnsi="Times New Roman;sans-serif"/>
          <w:b w:val="false"/>
          <w:color w:val="000000"/>
          <w:sz w:val="20"/>
        </w:rPr>
      </w:pPr>
      <w:r>
        <w:rPr>
          <w:rFonts w:ascii="Times New Roman;sans-serif" w:hAnsi="Times New Roman;sans-serif"/>
          <w:b w:val="false"/>
          <w:color w:val="000000"/>
          <w:sz w:val="20"/>
        </w:rPr>
        <w:t>____________________</w:t>
      </w:r>
    </w:p>
    <w:p>
      <w:pPr>
        <w:pStyle w:val="TextBody"/>
        <w:spacing w:lineRule="auto" w:line="288" w:before="0" w:after="0"/>
        <w:ind w:left="0" w:right="0" w:hanging="360"/>
        <w:jc w:val="both"/>
        <w:rPr/>
      </w:pPr>
      <w:r>
        <w:rPr>
          <w:rFonts w:ascii="Times New Roman;sans-serif" w:hAnsi="Times New Roman;sans-serif"/>
          <w:b w:val="false"/>
          <w:color w:val="000000"/>
          <w:sz w:val="20"/>
        </w:rPr>
        <w:t>(1) Beginning and ending claims data in each period excludes inactive claims, as the Company considers it unlikely that inactive cases will be pursued further by the respective plaintiffs.</w:t>
      </w:r>
      <w:r>
        <w:rPr>
          <w:color w:val="000000"/>
        </w:rPr>
        <w:t xml:space="preserve"> </w:t>
      </w:r>
      <w:r>
        <w:rPr>
          <w:rFonts w:ascii="Times New Roman;sans-serif" w:hAnsi="Times New Roman;sans-serif"/>
          <w:b w:val="false"/>
          <w:color w:val="000000"/>
          <w:sz w:val="20"/>
        </w:rPr>
        <w:t>A claim is classified as inactive either due to inactivity over a period of three years or if designated as inactive by the applicable court.</w:t>
      </w:r>
    </w:p>
    <w:p>
      <w:pPr>
        <w:pStyle w:val="TextBody"/>
        <w:spacing w:lineRule="auto" w:line="288" w:before="60" w:after="283"/>
        <w:ind w:left="0" w:right="0" w:hanging="360"/>
        <w:jc w:val="both"/>
        <w:rPr/>
      </w:pPr>
      <w:r>
        <w:rPr>
          <w:rFonts w:ascii="Times New Roman;sans-serif" w:hAnsi="Times New Roman;sans-serif"/>
          <w:b w:val="false"/>
          <w:color w:val="000000"/>
          <w:sz w:val="20"/>
        </w:rPr>
        <w:t>(2) Represents the net change in claims as a result of the reclassification of active cases as inactive and inactive cases as active during the period indicated.</w:t>
      </w:r>
      <w:r>
        <w:rPr>
          <w:color w:val="000000"/>
        </w:rPr>
        <w:t xml:space="preserve"> </w:t>
      </w:r>
      <w:r>
        <w:rPr>
          <w:rFonts w:ascii="Times New Roman;sans-serif" w:hAnsi="Times New Roman;sans-serif"/>
          <w:b w:val="false"/>
          <w:color w:val="000000"/>
          <w:sz w:val="20"/>
        </w:rPr>
        <w:t xml:space="preserve">Cases moved from active to inactive status are removed from the claims count without being accounted for as a "Resolved claim", and cases moved from inactive status to active status are added back to the claims count without being accounted for as a “New claim”. </w:t>
      </w:r>
    </w:p>
    <w:p>
      <w:pPr>
        <w:pStyle w:val="TextBody"/>
        <w:spacing w:before="60" w:after="283"/>
        <w:ind w:left="0" w:right="0" w:hanging="360"/>
        <w:jc w:val="both"/>
        <w:rPr/>
      </w:pPr>
      <w:r>
        <w:rPr/>
      </w:r>
    </w:p>
    <w:p>
      <w:pPr>
        <w:pStyle w:val="TextBody"/>
        <w:spacing w:lineRule="auto" w:line="288" w:before="60" w:after="283"/>
        <w:ind w:left="0" w:right="0" w:hanging="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the changes in the estimated asbestos liability:</w:t>
      </w:r>
    </w:p>
    <w:p>
      <w:pPr>
        <w:pStyle w:val="TextBody"/>
        <w:spacing w:before="60" w:after="283"/>
        <w:ind w:left="0" w:right="0" w:hanging="360"/>
        <w:jc w:val="both"/>
        <w:rPr/>
      </w:pPr>
      <w:r>
        <w:rPr/>
      </w:r>
    </w:p>
    <w:tbl>
      <w:tblPr>
        <w:tblW w:w="5363" w:type="dxa"/>
        <w:jc w:val="left"/>
        <w:tblInd w:w="0" w:type="dxa"/>
        <w:tblCellMar>
          <w:top w:w="28" w:type="dxa"/>
          <w:left w:w="28" w:type="dxa"/>
          <w:bottom w:w="28" w:type="dxa"/>
          <w:right w:w="28" w:type="dxa"/>
        </w:tblCellMar>
      </w:tblPr>
      <w:tblGrid>
        <w:gridCol w:w="1052"/>
        <w:gridCol w:w="926"/>
        <w:gridCol w:w="931"/>
        <w:gridCol w:w="211"/>
        <w:gridCol w:w="721"/>
        <w:gridCol w:w="109"/>
        <w:gridCol w:w="109"/>
        <w:gridCol w:w="109"/>
        <w:gridCol w:w="109"/>
        <w:gridCol w:w="211"/>
        <w:gridCol w:w="721"/>
        <w:gridCol w:w="154"/>
      </w:tblGrid>
      <w:tr>
        <w:trPr/>
        <w:tc>
          <w:tcPr>
            <w:tcW w:w="1052" w:type="dxa"/>
            <w:tcBorders/>
            <w:shd w:fill="auto" w:val="clear"/>
            <w:vAlign w:val="center"/>
          </w:tcPr>
          <w:p>
            <w:pPr>
              <w:pStyle w:val="TableContents"/>
              <w:spacing w:before="0" w:after="283"/>
              <w:rPr>
                <w:sz w:val="4"/>
                <w:szCs w:val="4"/>
              </w:rPr>
            </w:pPr>
            <w:r>
              <w:rPr>
                <w:sz w:val="4"/>
                <w:szCs w:val="4"/>
              </w:rPr>
            </w:r>
          </w:p>
        </w:tc>
        <w:tc>
          <w:tcPr>
            <w:tcW w:w="926" w:type="dxa"/>
            <w:tcBorders/>
            <w:shd w:fill="auto" w:val="clear"/>
            <w:vAlign w:val="center"/>
          </w:tcPr>
          <w:p>
            <w:pPr>
              <w:pStyle w:val="TableContents"/>
              <w:spacing w:before="0" w:after="283"/>
              <w:rPr>
                <w:sz w:val="4"/>
                <w:szCs w:val="4"/>
              </w:rPr>
            </w:pPr>
            <w:r>
              <w:rPr>
                <w:sz w:val="4"/>
                <w:szCs w:val="4"/>
              </w:rPr>
            </w:r>
          </w:p>
        </w:tc>
        <w:tc>
          <w:tcPr>
            <w:tcW w:w="93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90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thousands)</w:t>
            </w:r>
          </w:p>
        </w:tc>
        <w:tc>
          <w:tcPr>
            <w:tcW w:w="104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8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29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Beginning balance, January 1, </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98,652 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94,423 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9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Asbestos liability adjustments, net</w:t>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(106)</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9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payment activity</w:t>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(3,766)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(1,204)</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9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net</w:t>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(1,495)</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(967)</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9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Ending balance, March 31, </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93,285 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92,252 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60" w:after="283"/>
        <w:ind w:left="0" w:right="0" w:hanging="360"/>
        <w:jc w:val="both"/>
        <w:rPr/>
      </w:pPr>
      <w:r>
        <w:rPr/>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During</w:t>
      </w:r>
      <w:r>
        <w:rPr>
          <w:color w:val="000000"/>
        </w:rPr>
        <w:t xml:space="preserve"> </w:t>
      </w:r>
      <w:r>
        <w:rPr>
          <w:rFonts w:ascii="Times New Roman;sans-serif" w:hAnsi="Times New Roman;sans-serif"/>
          <w:b w:val="false"/>
          <w:color w:val="000000"/>
          <w:sz w:val="20"/>
        </w:rPr>
        <w:t xml:space="preserve">both of the three months ended March 31, 2023 and 2022 the Company incurred expenses (net of insurance) of approximately $1.8 million to defend, resolve or otherwise dispose of outstanding claims, including legal and other related expenses. These expenses are included within SG&amp;A in our condensed consolidated statements of income.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Company had cash inflows (outflows) (net of insurance and/or indemnity) to defend, resolve or otherwise dispose of outstanding claims, including legal and other related expenses of approximately $(5.6) million and $5.8 million, respectively, during the three months ended March 31, 2023 and 2022, respectively. </w:t>
      </w:r>
    </w:p>
    <w:p>
      <w:pPr>
        <w:pStyle w:val="HorizontalLine"/>
        <w:rPr/>
      </w:pPr>
      <w:r>
        <w:rPr/>
      </w:r>
      <w:r>
        <mc:AlternateContent>
          <mc:Choice Requires="wps">
            <w:drawing>
              <wp:anchor behindDoc="0" distT="0" distB="0" distL="0" distR="0" simplePos="0" locked="0" layoutInCell="1" allowOverlap="1" relativeHeight="18">
                <wp:simplePos x="0" y="0"/>
                <wp:positionH relativeFrom="character">
                  <wp:align>left</wp:align>
                </wp:positionH>
                <wp:positionV relativeFrom="line">
                  <wp:posOffset>635</wp:posOffset>
                </wp:positionV>
                <wp:extent cx="6480175" cy="351155"/>
                <wp:effectExtent l="0" t="0" r="0" b="0"/>
                <wp:wrapNone/>
                <wp:docPr id="17" name="Frame1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14</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Historically, a high percentage of resolved claims have been covered by applicable insurance or indemnities from other companies, and we believe that a substantial majority of existing claims should continue to be covered by insurance or indemnities, in whole or in part.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We believe that our reserve for asbestos claims and the receivable for recoveries from insurance carriers that we have recorded for these claims reflects reasonable and probable estimates of these amounts. Our estimate of our ultimate exposure for asbestos claims, however, is subject to significant uncertainties, including the timing and number and types of new claims, unfavorable court rulings, judgments or settlement terms and ultimate costs to settle. Additionally, the continued viability of carriers may also impact the amount of probable insurance recoveries. We believe that these uncertainties could have a material adverse impact on our business, financial condition, results of operations and cash flows, though we currently believe the likelihood is remote.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Additionally, we have claims pending against certain insurers that, if resolved more favorably than reflected in the recorded receivables, would result in discrete gains in the applicable quarter. </w:t>
      </w:r>
    </w:p>
    <w:p>
      <w:pPr>
        <w:pStyle w:val="TextBody"/>
        <w:spacing w:lineRule="auto" w:line="288" w:before="120" w:after="283"/>
        <w:ind w:left="0" w:right="0" w:firstLine="360"/>
        <w:jc w:val="both"/>
        <w:rPr>
          <w:rFonts w:ascii="Times New Roman;sans-serif" w:hAnsi="Times New Roman;sans-serif"/>
          <w:b/>
          <w:i/>
          <w:color w:val="000000"/>
          <w:sz w:val="20"/>
        </w:rPr>
      </w:pPr>
      <w:r>
        <w:rPr>
          <w:rFonts w:ascii="Times New Roman;sans-serif" w:hAnsi="Times New Roman;sans-serif"/>
          <w:b/>
          <w:i/>
          <w:color w:val="000000"/>
          <w:sz w:val="20"/>
        </w:rPr>
        <w:t>Other Claims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are also a defendant in a number of other lawsuits, including product liability claims, that are insured, subject to the applicable deductibles, arising in the ordinary course of business, and we are also involved in other uninsured routine litigation incidental to our business. We currently believe none of such litigation, either individually or in the aggregate, is material to our business, operations or overall financial condition. However, litigation is inherently unpredictable, and resolutions or dispositions of claims or lawsuits by settlement or otherwise could have an adverse impact on our financial position, results of operations or cash flows for the reporting period in which any such resolution or disposition occurs.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Although none of the aforementioned potential liabilities can be quantified with absolute certainty except as otherwise indicated above, we have established or adjusted reserves covering exposures relating to contingencies, to the extent believed to be reasonably estimable and probable based on past experience and available facts. While additional exposures beyond these reserves could exist, they currently cannot be estimated. We will continue to evaluate and update the reserves as necessary and appropriate.</w:t>
      </w:r>
    </w:p>
    <w:p>
      <w:pPr>
        <w:pStyle w:val="TextBody"/>
        <w:spacing w:before="120" w:after="283"/>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11.Pension and Postretirement Benefits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Components of the net periodic cost for pension and postretirement benefits for the three months ended March 31, 2023 and 2022 were as follows:</w:t>
      </w:r>
    </w:p>
    <w:tbl>
      <w:tblPr>
        <w:tblW w:w="10205" w:type="dxa"/>
        <w:jc w:val="left"/>
        <w:tblInd w:w="0" w:type="dxa"/>
        <w:tblCellMar>
          <w:top w:w="28" w:type="dxa"/>
          <w:left w:w="28" w:type="dxa"/>
          <w:bottom w:w="28" w:type="dxa"/>
          <w:right w:w="28" w:type="dxa"/>
        </w:tblCellMar>
      </w:tblPr>
      <w:tblGrid>
        <w:gridCol w:w="1571"/>
        <w:gridCol w:w="1214"/>
        <w:gridCol w:w="1219"/>
        <w:gridCol w:w="221"/>
        <w:gridCol w:w="424"/>
        <w:gridCol w:w="113"/>
        <w:gridCol w:w="113"/>
        <w:gridCol w:w="113"/>
        <w:gridCol w:w="113"/>
        <w:gridCol w:w="221"/>
        <w:gridCol w:w="424"/>
        <w:gridCol w:w="113"/>
        <w:gridCol w:w="109"/>
        <w:gridCol w:w="109"/>
        <w:gridCol w:w="109"/>
        <w:gridCol w:w="221"/>
        <w:gridCol w:w="424"/>
        <w:gridCol w:w="113"/>
        <w:gridCol w:w="113"/>
        <w:gridCol w:w="113"/>
        <w:gridCol w:w="113"/>
        <w:gridCol w:w="221"/>
        <w:gridCol w:w="424"/>
        <w:gridCol w:w="113"/>
        <w:gridCol w:w="109"/>
        <w:gridCol w:w="109"/>
        <w:gridCol w:w="109"/>
        <w:gridCol w:w="211"/>
        <w:gridCol w:w="406"/>
        <w:gridCol w:w="109"/>
        <w:gridCol w:w="109"/>
        <w:gridCol w:w="109"/>
        <w:gridCol w:w="109"/>
        <w:gridCol w:w="211"/>
        <w:gridCol w:w="406"/>
        <w:gridCol w:w="167"/>
      </w:tblGrid>
      <w:tr>
        <w:trPr/>
        <w:tc>
          <w:tcPr>
            <w:tcW w:w="1571" w:type="dxa"/>
            <w:tcBorders/>
            <w:shd w:fill="auto" w:val="clear"/>
            <w:vAlign w:val="center"/>
          </w:tcPr>
          <w:p>
            <w:pPr>
              <w:pStyle w:val="TableContents"/>
              <w:spacing w:before="0" w:after="283"/>
              <w:rPr>
                <w:sz w:val="4"/>
                <w:szCs w:val="4"/>
              </w:rPr>
            </w:pPr>
            <w:r>
              <w:rPr>
                <w:sz w:val="4"/>
                <w:szCs w:val="4"/>
              </w:rPr>
            </w:r>
          </w:p>
        </w:tc>
        <w:tc>
          <w:tcPr>
            <w:tcW w:w="1214" w:type="dxa"/>
            <w:tcBorders/>
            <w:shd w:fill="auto" w:val="clear"/>
            <w:vAlign w:val="center"/>
          </w:tcPr>
          <w:p>
            <w:pPr>
              <w:pStyle w:val="TableContents"/>
              <w:spacing w:before="0" w:after="283"/>
              <w:rPr>
                <w:sz w:val="4"/>
                <w:szCs w:val="4"/>
              </w:rPr>
            </w:pPr>
            <w:r>
              <w:rPr>
                <w:sz w:val="4"/>
                <w:szCs w:val="4"/>
              </w:rPr>
            </w:r>
          </w:p>
        </w:tc>
        <w:tc>
          <w:tcPr>
            <w:tcW w:w="1219"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r>
      <w:tr>
        <w:trPr/>
        <w:tc>
          <w:tcPr>
            <w:tcW w:w="40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55"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U.S.</w:t>
              <w:br/>
              <w:t>Defined Benefit Plans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55"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Non-U.S.</w:t>
              <w:br/>
              <w:t>Defined Benefit Plans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37"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Postretirement</w:t>
              <w:br/>
              <w:t>Medical Benefits</w:t>
            </w:r>
          </w:p>
        </w:tc>
      </w:tr>
      <w:tr>
        <w:trPr/>
        <w:tc>
          <w:tcPr>
            <w:tcW w:w="40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millions) </w:t>
            </w:r>
          </w:p>
        </w:tc>
        <w:tc>
          <w:tcPr>
            <w:tcW w:w="75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3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5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5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3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5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8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4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Service cost</w:t>
            </w:r>
          </w:p>
        </w:tc>
        <w:tc>
          <w:tcPr>
            <w:tcW w:w="2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5.0 </w:t>
            </w:r>
          </w:p>
        </w:tc>
        <w:tc>
          <w:tcPr>
            <w:tcW w:w="1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6.3 </w:t>
            </w:r>
          </w:p>
        </w:tc>
        <w:tc>
          <w:tcPr>
            <w:tcW w:w="1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1.1 </w:t>
            </w:r>
          </w:p>
        </w:tc>
        <w:tc>
          <w:tcPr>
            <w:tcW w:w="1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1.6 </w:t>
            </w:r>
          </w:p>
        </w:tc>
        <w:tc>
          <w:tcPr>
            <w:tcW w:w="1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6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cost</w:t>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5.2 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0.1 </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Expected return on plan assets</w:t>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(6.5)</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Amortization of unrecognized prior service cost and other costs</w:t>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0.1 </w:t>
            </w:r>
          </w:p>
        </w:tc>
        <w:tc>
          <w:tcPr>
            <w:tcW w:w="1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0.1 </w:t>
            </w:r>
          </w:p>
        </w:tc>
        <w:tc>
          <w:tcPr>
            <w:tcW w:w="16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Amortization of unrecognized net loss </w:t>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1.0 </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0.3 </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4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0.7 </w:t>
            </w:r>
          </w:p>
        </w:tc>
        <w:tc>
          <w:tcPr>
            <w:tcW w:w="1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6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periodic cost recognized</w:t>
            </w:r>
          </w:p>
        </w:tc>
        <w:tc>
          <w:tcPr>
            <w:tcW w:w="22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3.9 </w:t>
            </w:r>
          </w:p>
        </w:tc>
        <w:tc>
          <w:tcPr>
            <w:tcW w:w="11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4.3 </w:t>
            </w:r>
          </w:p>
        </w:tc>
        <w:tc>
          <w:tcPr>
            <w:tcW w:w="11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2.8 </w:t>
            </w:r>
          </w:p>
        </w:tc>
        <w:tc>
          <w:tcPr>
            <w:tcW w:w="11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2.5 </w:t>
            </w:r>
          </w:p>
        </w:tc>
        <w:tc>
          <w:tcPr>
            <w:tcW w:w="11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0.2 </w:t>
            </w:r>
          </w:p>
        </w:tc>
        <w:tc>
          <w:tcPr>
            <w:tcW w:w="167"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tbl>
      <w:tblPr>
        <w:tblW w:w="1586"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rPr>
                <w:rFonts w:ascii="Times New Roman;sans-serif" w:hAnsi="Times New Roman;sans-serif"/>
                <w:b w:val="false"/>
                <w:sz w:val="20"/>
              </w:rPr>
            </w:pPr>
            <w:r>
              <w:rPr>
                <w:rFonts w:ascii="Times New Roman;sans-serif" w:hAnsi="Times New Roman;sans-serif"/>
                <w:b w:val="false"/>
                <w:sz w:val="20"/>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99" w:type="dxa"/>
            <w:gridSpan w:val="6"/>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8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components of net periodic cost for pension and postretirement benefits other than service costs are included in other income (expense), net in our condensed consolidated statements of income.</w:t>
      </w:r>
    </w:p>
    <w:p>
      <w:pPr>
        <w:pStyle w:val="TextBody"/>
        <w:spacing w:before="0" w:after="0"/>
        <w:ind w:left="0" w:right="0" w:firstLine="36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9">
                <wp:simplePos x="0" y="0"/>
                <wp:positionH relativeFrom="character">
                  <wp:align>left</wp:align>
                </wp:positionH>
                <wp:positionV relativeFrom="line">
                  <wp:posOffset>635</wp:posOffset>
                </wp:positionV>
                <wp:extent cx="6480175" cy="351155"/>
                <wp:effectExtent l="0" t="0" r="0" b="0"/>
                <wp:wrapNone/>
                <wp:docPr id="18" name="Frame1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15</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12.Shareholders’ Equity</w:t>
      </w:r>
    </w:p>
    <w:p>
      <w:pPr>
        <w:pStyle w:val="TextBody"/>
        <w:spacing w:lineRule="auto" w:line="288" w:before="120" w:after="283"/>
        <w:ind w:left="0" w:right="0" w:firstLine="360"/>
        <w:jc w:val="both"/>
        <w:rPr/>
      </w:pPr>
      <w:r>
        <w:rPr>
          <w:rFonts w:ascii="Times New Roman;sans-serif" w:hAnsi="Times New Roman;sans-serif"/>
          <w:b w:val="false"/>
          <w:i/>
          <w:color w:val="000000"/>
          <w:sz w:val="20"/>
        </w:rPr>
        <w:t xml:space="preserve">Dividends </w:t>
      </w:r>
      <w:r>
        <w:rPr>
          <w:color w:val="000000"/>
        </w:rPr>
        <w:t xml:space="preserve">– </w:t>
      </w:r>
      <w:r>
        <w:rPr>
          <w:rFonts w:ascii="Times New Roman;sans-serif" w:hAnsi="Times New Roman;sans-serif"/>
          <w:b w:val="false"/>
          <w:color w:val="000000"/>
          <w:sz w:val="20"/>
        </w:rPr>
        <w:t xml:space="preserve">Generally, our dividend date-of-record is in the last month of the quarter, and the dividend is paid the following month. Any subsequent dividends will be reviewed by our Board of Directors and declared in its discretion.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Dividends declared per share were as follows:</w:t>
      </w:r>
    </w:p>
    <w:tbl>
      <w:tblPr>
        <w:tblW w:w="5771" w:type="dxa"/>
        <w:jc w:val="left"/>
        <w:tblInd w:w="0" w:type="dxa"/>
        <w:tblCellMar>
          <w:top w:w="28" w:type="dxa"/>
          <w:left w:w="28" w:type="dxa"/>
          <w:bottom w:w="28" w:type="dxa"/>
          <w:right w:w="28" w:type="dxa"/>
        </w:tblCellMar>
      </w:tblPr>
      <w:tblGrid>
        <w:gridCol w:w="907"/>
        <w:gridCol w:w="797"/>
        <w:gridCol w:w="800"/>
        <w:gridCol w:w="296"/>
        <w:gridCol w:w="717"/>
        <w:gridCol w:w="152"/>
        <w:gridCol w:w="152"/>
        <w:gridCol w:w="152"/>
        <w:gridCol w:w="152"/>
        <w:gridCol w:w="296"/>
        <w:gridCol w:w="717"/>
        <w:gridCol w:w="152"/>
        <w:gridCol w:w="109"/>
        <w:gridCol w:w="109"/>
        <w:gridCol w:w="109"/>
        <w:gridCol w:w="154"/>
      </w:tblGrid>
      <w:tr>
        <w:trPr/>
        <w:tc>
          <w:tcPr>
            <w:tcW w:w="907" w:type="dxa"/>
            <w:tcBorders/>
            <w:shd w:fill="auto" w:val="clear"/>
            <w:vAlign w:val="center"/>
          </w:tcPr>
          <w:p>
            <w:pPr>
              <w:pStyle w:val="TableContents"/>
              <w:spacing w:before="0" w:after="283"/>
              <w:rPr>
                <w:sz w:val="4"/>
                <w:szCs w:val="4"/>
              </w:rPr>
            </w:pPr>
            <w:r>
              <w:rPr>
                <w:sz w:val="4"/>
                <w:szCs w:val="4"/>
              </w:rPr>
            </w:r>
          </w:p>
        </w:tc>
        <w:tc>
          <w:tcPr>
            <w:tcW w:w="797"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717"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717"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786" w:type="dxa"/>
            <w:gridSpan w:val="9"/>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25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5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6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Dividends declared per share </w:t>
            </w:r>
          </w:p>
        </w:tc>
        <w:tc>
          <w:tcPr>
            <w:tcW w:w="2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1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0.20 </w:t>
            </w:r>
          </w:p>
        </w:tc>
        <w:tc>
          <w:tcPr>
            <w:tcW w:w="15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5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1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0.20 </w:t>
            </w:r>
          </w:p>
        </w:tc>
        <w:tc>
          <w:tcPr>
            <w:tcW w:w="15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100"/>
        <w:ind w:left="0" w:right="0" w:firstLine="360"/>
        <w:jc w:val="both"/>
        <w:rPr/>
      </w:pPr>
      <w:r>
        <w:rPr>
          <w:rFonts w:ascii="Times New Roman;sans-serif" w:hAnsi="Times New Roman;sans-serif"/>
          <w:b w:val="false"/>
          <w:i/>
          <w:color w:val="000000"/>
          <w:sz w:val="20"/>
        </w:rPr>
        <w:t>Share Repurchase Program</w:t>
      </w:r>
      <w:r>
        <w:rPr>
          <w:color w:val="000000"/>
        </w:rPr>
        <w:t xml:space="preserve"> – </w:t>
      </w:r>
      <w:r>
        <w:rPr>
          <w:rFonts w:ascii="Times New Roman;sans-serif" w:hAnsi="Times New Roman;sans-serif"/>
          <w:b w:val="false"/>
          <w:color w:val="000000"/>
          <w:sz w:val="20"/>
        </w:rPr>
        <w:t xml:space="preserve">In 2014, our Board of Directors approved a $500.0 million share repurchase authorization. Our share repurchase program does not have an expiration date and we reserve the right to limit or terminate the repurchase program at </w:t>
      </w:r>
      <w:r>
        <w:rPr>
          <w:rFonts w:ascii="Times New Roman;sans-serif" w:hAnsi="Times New Roman;sans-serif"/>
          <w:b w:val="false"/>
          <w:color w:val="000000"/>
          <w:sz w:val="20"/>
          <w:highlight w:val="white"/>
        </w:rPr>
        <w:t xml:space="preserve">any time without notice.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We</w:t>
      </w:r>
      <w:r>
        <w:rPr>
          <w:color w:val="000000"/>
        </w:rPr>
        <w:t xml:space="preserve"> </w:t>
      </w:r>
      <w:r>
        <w:rPr>
          <w:rFonts w:ascii="Times New Roman;sans-serif" w:hAnsi="Times New Roman;sans-serif"/>
          <w:b w:val="false"/>
          <w:color w:val="000000"/>
          <w:sz w:val="20"/>
        </w:rPr>
        <w:t xml:space="preserve">had no repurchases of shares of our outstanding common stock for both of the three months ended March 31, 2023 and 2022. As of March 31, 2023, we had $96.1 million </w:t>
      </w:r>
      <w:r>
        <w:rPr>
          <w:rFonts w:ascii="Times New Roman;sans-serif" w:hAnsi="Times New Roman;sans-serif"/>
          <w:b w:val="false"/>
          <w:color w:val="000000"/>
          <w:sz w:val="20"/>
          <w:highlight w:val="white"/>
        </w:rPr>
        <w:t>of remaining capacity under our current share repurchase program.</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360"/>
        <w:rPr>
          <w:rFonts w:ascii="Times New Roman;sans-serif" w:hAnsi="Times New Roman;sans-serif"/>
          <w:b/>
          <w:color w:val="000000"/>
          <w:sz w:val="20"/>
        </w:rPr>
      </w:pPr>
      <w:r>
        <w:rPr>
          <w:rFonts w:ascii="Times New Roman;sans-serif" w:hAnsi="Times New Roman;sans-serif"/>
          <w:b/>
          <w:color w:val="000000"/>
          <w:sz w:val="20"/>
        </w:rPr>
        <w:t>13.Income Taxes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For the three months ended March 31, 2023, we earned $34.4 million before taxes and recorded a provision for income taxes of $4.5 million resulting in an effective tax rate of 12.9%. The effective tax rate varied from the U.S. federal statutory rate for the three months ended March 31, 2023 primarily due to the benefits of a tax planning strategy partially offset by the net impact of foreign operations and state income taxes. </w:t>
      </w:r>
    </w:p>
    <w:p>
      <w:pPr>
        <w:pStyle w:val="TextBody"/>
        <w:spacing w:lineRule="auto" w:line="288" w:before="120" w:after="283"/>
        <w:ind w:left="0" w:right="0" w:firstLine="360"/>
        <w:jc w:val="both"/>
        <w:rPr/>
      </w:pPr>
      <w:r>
        <w:rPr>
          <w:rFonts w:ascii="Times New Roman;sans-serif" w:hAnsi="Times New Roman;sans-serif"/>
          <w:b w:val="false"/>
          <w:color w:val="000000"/>
          <w:sz w:val="20"/>
        </w:rPr>
        <w:t>For the three months ended March 31, 2022</w:t>
      </w:r>
      <w:r>
        <w:rPr>
          <w:rFonts w:ascii="Times New Roman;sans-serif" w:hAnsi="Times New Roman;sans-serif"/>
          <w:b w:val="false"/>
          <w:color w:val="000000"/>
          <w:sz w:val="20"/>
          <w:highlight w:val="white"/>
        </w:rPr>
        <w:t xml:space="preserve">, we had losses of $10.5 million before taxes and recorded a provision for income taxes of $3.2 million resulting in an effective tax rate of (30.5)%. The effective tax rate varied from the U.S. federal statutory rate for the three months ended March 31, 2022 primarily due to the current and anticipated </w:t>
      </w:r>
      <w:r>
        <w:rPr>
          <w:rFonts w:ascii="Times New Roman;sans-serif" w:hAnsi="Times New Roman;sans-serif"/>
          <w:b w:val="false"/>
          <w:color w:val="000000"/>
          <w:sz w:val="20"/>
        </w:rPr>
        <w:t>tax impact of the Russia-Ukraine conflict on our business, partially offset by the net impact of foreign operations</w:t>
      </w:r>
      <w:r>
        <w:rPr>
          <w:rFonts w:ascii="Times New Roman;sans-serif" w:hAnsi="Times New Roman;sans-serif"/>
          <w:b w:val="false"/>
          <w:color w:val="000000"/>
          <w:sz w:val="20"/>
          <w:highlight w:val="white"/>
        </w:rPr>
        <w:t>.</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As of March 31, 2023, the amount of unrecognized tax benefits increased by $5.4 million from December 31, 2022. With limited exception, we are no longer subject to U.S. federal income tax audits for years through 2017, state and local income tax audits for years through 2016 or non-U.S. income tax audits for years through 2015. We are currently under examination for various years in Canada, Germany, India, Indonesia, Italy, Kenya, Madagascar, Malaysia, Mexico, Morocco, the Philippines, Saudi Arabia, the U.S. and Venezuela.</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It is reasonably possible that within the next 12 months the effective tax rate will be impacted by the resolution of some or all of the matters audited by various taxing authorities. It is also reasonably possible that we will have the statute of limitations close in various taxing jurisdictions within the next 12 months. As such, we estimate we could record a reduction in our tax expense of approximately $8 million within the next 12 months.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Company maintains a full valuation allowance against the net deferred tax assets in certain foreign tax jurisdictions as of March 31, 2023. As of each reporting date, management considers new evidence, both positive and negative, that could affect its view of the future realization of net deferred tax assets. It is possible that within the next 12 months there may be sufficient positive evidence to release a portion or all of the remaining valuation allowance in those foreign jurisdictions. Release of the valuation allowance would result in a benefit to income tax expense for the period the release is recorded, which could have a material impact on net earnings. The timing and amount of the potential valuation allowance release are subject to significant management judgment and the level of profitability achieved.</w:t>
      </w:r>
    </w:p>
    <w:p>
      <w:pPr>
        <w:pStyle w:val="TextBody"/>
        <w:spacing w:before="0" w:after="0"/>
        <w:ind w:left="0" w:right="0" w:firstLine="360"/>
        <w:jc w:val="both"/>
        <w:rPr/>
      </w:pPr>
      <w:r>
        <w:rPr/>
      </w:r>
    </w:p>
    <w:p>
      <w:pPr>
        <w:pStyle w:val="TextBody"/>
        <w:spacing w:before="0" w:after="0"/>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0">
                <wp:simplePos x="0" y="0"/>
                <wp:positionH relativeFrom="character">
                  <wp:align>left</wp:align>
                </wp:positionH>
                <wp:positionV relativeFrom="line">
                  <wp:posOffset>635</wp:posOffset>
                </wp:positionV>
                <wp:extent cx="6480175" cy="351155"/>
                <wp:effectExtent l="0" t="0" r="0" b="0"/>
                <wp:wrapNone/>
                <wp:docPr id="19" name="Frame1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13</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0" w:after="0"/>
        <w:ind w:left="0" w:right="0" w:hanging="360"/>
        <w:rPr>
          <w:rFonts w:ascii="Times New Roman;sans-serif" w:hAnsi="Times New Roman;sans-serif"/>
          <w:b/>
          <w:color w:val="000000"/>
          <w:sz w:val="20"/>
        </w:rPr>
      </w:pPr>
      <w:r>
        <w:rPr>
          <w:rFonts w:ascii="Times New Roman;sans-serif" w:hAnsi="Times New Roman;sans-serif"/>
          <w:b/>
          <w:color w:val="000000"/>
          <w:sz w:val="20"/>
        </w:rPr>
        <w:t>14.Segment Information</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following is a summary of the financial information of the reportable segments reconciled to the amounts reported in the condensed consolidated financial statements: </w:t>
      </w:r>
    </w:p>
    <w:tbl>
      <w:tblPr>
        <w:tblW w:w="10205" w:type="dxa"/>
        <w:jc w:val="left"/>
        <w:tblInd w:w="0" w:type="dxa"/>
        <w:tblCellMar>
          <w:top w:w="28" w:type="dxa"/>
          <w:left w:w="28" w:type="dxa"/>
          <w:bottom w:w="28" w:type="dxa"/>
          <w:right w:w="28" w:type="dxa"/>
        </w:tblCellMar>
      </w:tblPr>
      <w:tblGrid>
        <w:gridCol w:w="710"/>
        <w:gridCol w:w="469"/>
        <w:gridCol w:w="472"/>
        <w:gridCol w:w="211"/>
        <w:gridCol w:w="826"/>
        <w:gridCol w:w="109"/>
        <w:gridCol w:w="109"/>
        <w:gridCol w:w="109"/>
        <w:gridCol w:w="109"/>
        <w:gridCol w:w="211"/>
        <w:gridCol w:w="826"/>
        <w:gridCol w:w="109"/>
        <w:gridCol w:w="109"/>
        <w:gridCol w:w="109"/>
        <w:gridCol w:w="109"/>
        <w:gridCol w:w="328"/>
        <w:gridCol w:w="1288"/>
        <w:gridCol w:w="169"/>
        <w:gridCol w:w="109"/>
        <w:gridCol w:w="109"/>
        <w:gridCol w:w="109"/>
        <w:gridCol w:w="492"/>
        <w:gridCol w:w="947"/>
        <w:gridCol w:w="255"/>
        <w:gridCol w:w="109"/>
        <w:gridCol w:w="109"/>
        <w:gridCol w:w="109"/>
        <w:gridCol w:w="260"/>
        <w:gridCol w:w="1019"/>
        <w:gridCol w:w="196"/>
      </w:tblGrid>
      <w:tr>
        <w:trPr/>
        <w:tc>
          <w:tcPr>
            <w:tcW w:w="710"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center"/>
          </w:tcPr>
          <w:p>
            <w:pPr>
              <w:pStyle w:val="TableContents"/>
              <w:spacing w:before="0" w:after="283"/>
              <w:rPr>
                <w:sz w:val="4"/>
                <w:szCs w:val="4"/>
              </w:rPr>
            </w:pPr>
            <w:r>
              <w:rPr>
                <w:sz w:val="4"/>
                <w:szCs w:val="4"/>
              </w:rPr>
            </w:r>
          </w:p>
        </w:tc>
        <w:tc>
          <w:tcPr>
            <w:tcW w:w="472"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12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92" w:type="dxa"/>
            <w:tcBorders/>
            <w:shd w:fill="auto" w:val="clear"/>
            <w:vAlign w:val="center"/>
          </w:tcPr>
          <w:p>
            <w:pPr>
              <w:pStyle w:val="TableContents"/>
              <w:spacing w:before="0" w:after="283"/>
              <w:rPr>
                <w:sz w:val="4"/>
                <w:szCs w:val="4"/>
              </w:rPr>
            </w:pPr>
            <w:r>
              <w:rPr>
                <w:sz w:val="4"/>
                <w:szCs w:val="4"/>
              </w:rPr>
            </w:r>
          </w:p>
        </w:tc>
        <w:tc>
          <w:tcPr>
            <w:tcW w:w="947"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1019"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r>
      <w:tr>
        <w:trPr/>
        <w:tc>
          <w:tcPr>
            <w:tcW w:w="16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54"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165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78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69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Eliminations and All Other</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7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165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 to external customers</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699,478 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280,827 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8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980,305 </w:t>
            </w:r>
          </w:p>
        </w:tc>
        <w:tc>
          <w:tcPr>
            <w:tcW w:w="16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5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1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980,305 </w:t>
            </w:r>
          </w:p>
        </w:tc>
        <w:tc>
          <w:tcPr>
            <w:tcW w:w="19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5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Intersegment sales</w:t>
            </w:r>
          </w:p>
        </w:tc>
        <w:tc>
          <w:tcPr>
            <w:tcW w:w="1037"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638 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790 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6"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1,428 </w:t>
            </w:r>
          </w:p>
        </w:tc>
        <w:tc>
          <w:tcPr>
            <w:tcW w:w="16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(1,428)</w:t>
            </w:r>
          </w:p>
        </w:tc>
        <w:tc>
          <w:tcPr>
            <w:tcW w:w="255"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96"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5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Segment operating income </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79,072 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18,534 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97,606 </w:t>
            </w:r>
          </w:p>
        </w:tc>
        <w:tc>
          <w:tcPr>
            <w:tcW w:w="16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(40,420)</w:t>
            </w:r>
          </w:p>
        </w:tc>
        <w:tc>
          <w:tcPr>
            <w:tcW w:w="2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57,186 </w:t>
            </w:r>
          </w:p>
        </w:tc>
        <w:tc>
          <w:tcPr>
            <w:tcW w:w="19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54"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r>
      <w:tr>
        <w:trPr/>
        <w:tc>
          <w:tcPr>
            <w:tcW w:w="16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78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69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Eliminations and All Other</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7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165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 to external customers</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573,986 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247,072 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8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821,058 </w:t>
            </w:r>
          </w:p>
        </w:tc>
        <w:tc>
          <w:tcPr>
            <w:tcW w:w="16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5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1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821,058 </w:t>
            </w:r>
          </w:p>
        </w:tc>
        <w:tc>
          <w:tcPr>
            <w:tcW w:w="19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5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Intersegment sales</w:t>
            </w:r>
          </w:p>
        </w:tc>
        <w:tc>
          <w:tcPr>
            <w:tcW w:w="1037"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1,598 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784 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6"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2,382 </w:t>
            </w:r>
          </w:p>
        </w:tc>
        <w:tc>
          <w:tcPr>
            <w:tcW w:w="16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(2,382)</w:t>
            </w:r>
          </w:p>
        </w:tc>
        <w:tc>
          <w:tcPr>
            <w:tcW w:w="255"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96"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5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Segment operating income</w:t>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21,001 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15,237 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36,238 </w:t>
            </w:r>
          </w:p>
        </w:tc>
        <w:tc>
          <w:tcPr>
            <w:tcW w:w="16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(28,871)</w:t>
            </w:r>
          </w:p>
        </w:tc>
        <w:tc>
          <w:tcPr>
            <w:tcW w:w="2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7,367 </w:t>
            </w:r>
          </w:p>
        </w:tc>
        <w:tc>
          <w:tcPr>
            <w:tcW w:w="19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jc w:val="both"/>
        <w:rPr/>
      </w:pPr>
      <w:r>
        <w:rPr/>
      </w:r>
    </w:p>
    <w:tbl>
      <w:tblPr>
        <w:tblW w:w="1368"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17" w:type="dxa"/>
            <w:gridSpan w:val="8"/>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17" w:type="dxa"/>
            <w:gridSpan w:val="8"/>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1">
                <wp:simplePos x="0" y="0"/>
                <wp:positionH relativeFrom="character">
                  <wp:align>left</wp:align>
                </wp:positionH>
                <wp:positionV relativeFrom="line">
                  <wp:posOffset>635</wp:posOffset>
                </wp:positionV>
                <wp:extent cx="6480175" cy="351155"/>
                <wp:effectExtent l="0" t="0" r="0" b="0"/>
                <wp:wrapNone/>
                <wp:docPr id="20" name="Frame1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14</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00" w:after="100"/>
        <w:ind w:left="0" w:right="0" w:hanging="360"/>
        <w:rPr>
          <w:rFonts w:ascii="Times New Roman;sans-serif" w:hAnsi="Times New Roman;sans-serif"/>
          <w:b/>
          <w:color w:val="000000"/>
          <w:sz w:val="20"/>
        </w:rPr>
      </w:pPr>
      <w:r>
        <w:rPr>
          <w:rFonts w:ascii="Times New Roman;sans-serif" w:hAnsi="Times New Roman;sans-serif"/>
          <w:b/>
          <w:color w:val="000000"/>
          <w:sz w:val="20"/>
        </w:rPr>
        <w:t>15.Accumulated Other Comprehensive Income (Loss)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the changes in AOCL, net of tax for the three months ended March 31, 2023 and 2022:</w:t>
      </w:r>
    </w:p>
    <w:p>
      <w:pPr>
        <w:pStyle w:val="TextBody"/>
        <w:spacing w:before="100" w:after="283"/>
        <w:jc w:val="both"/>
        <w:rPr/>
      </w:pPr>
      <w:r>
        <w:rPr/>
      </w:r>
    </w:p>
    <w:tbl>
      <w:tblPr>
        <w:tblW w:w="12978" w:type="dxa"/>
        <w:jc w:val="left"/>
        <w:tblInd w:w="0" w:type="dxa"/>
        <w:tblCellMar>
          <w:top w:w="28" w:type="dxa"/>
          <w:left w:w="28" w:type="dxa"/>
          <w:bottom w:w="28" w:type="dxa"/>
          <w:right w:w="28" w:type="dxa"/>
        </w:tblCellMar>
      </w:tblPr>
      <w:tblGrid>
        <w:gridCol w:w="743"/>
        <w:gridCol w:w="380"/>
        <w:gridCol w:w="303"/>
        <w:gridCol w:w="211"/>
        <w:gridCol w:w="841"/>
        <w:gridCol w:w="109"/>
        <w:gridCol w:w="109"/>
        <w:gridCol w:w="109"/>
        <w:gridCol w:w="109"/>
        <w:gridCol w:w="281"/>
        <w:gridCol w:w="983"/>
        <w:gridCol w:w="147"/>
        <w:gridCol w:w="109"/>
        <w:gridCol w:w="109"/>
        <w:gridCol w:w="109"/>
        <w:gridCol w:w="211"/>
        <w:gridCol w:w="481"/>
        <w:gridCol w:w="109"/>
        <w:gridCol w:w="109"/>
        <w:gridCol w:w="109"/>
        <w:gridCol w:w="109"/>
        <w:gridCol w:w="211"/>
        <w:gridCol w:w="841"/>
        <w:gridCol w:w="109"/>
        <w:gridCol w:w="109"/>
        <w:gridCol w:w="109"/>
        <w:gridCol w:w="109"/>
        <w:gridCol w:w="211"/>
        <w:gridCol w:w="841"/>
        <w:gridCol w:w="109"/>
        <w:gridCol w:w="109"/>
        <w:gridCol w:w="109"/>
        <w:gridCol w:w="109"/>
        <w:gridCol w:w="256"/>
        <w:gridCol w:w="1022"/>
        <w:gridCol w:w="133"/>
        <w:gridCol w:w="109"/>
        <w:gridCol w:w="109"/>
        <w:gridCol w:w="109"/>
        <w:gridCol w:w="211"/>
        <w:gridCol w:w="631"/>
        <w:gridCol w:w="109"/>
        <w:gridCol w:w="109"/>
        <w:gridCol w:w="109"/>
        <w:gridCol w:w="109"/>
        <w:gridCol w:w="211"/>
        <w:gridCol w:w="841"/>
        <w:gridCol w:w="154"/>
      </w:tblGrid>
      <w:tr>
        <w:trPr/>
        <w:tc>
          <w:tcPr>
            <w:tcW w:w="743"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4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4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4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2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41"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515"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10"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14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thousands)</w:t>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Foreign currency translation items(1)</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1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Pension and other post-retirement effects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0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Cash flow hedging activity (2)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 xml:space="preserve">Foreign currency translation items(1) </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1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Pension and other post-retirement effects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5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Cash flow hedging activity (2)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142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Balance - January 1</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(554,683)</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8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(86,356)</w:t>
            </w:r>
          </w:p>
        </w:tc>
        <w:tc>
          <w:tcPr>
            <w:tcW w:w="14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8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(933)</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(641,972)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(456,025)</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2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(101,665)</w:t>
            </w:r>
          </w:p>
        </w:tc>
        <w:tc>
          <w:tcPr>
            <w:tcW w:w="13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3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(1,336)</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(559,026)</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comprehensive income (loss) before reclassifications (3)</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13,506 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(865)</w:t>
            </w:r>
          </w:p>
        </w:tc>
        <w:tc>
          <w:tcPr>
            <w:tcW w:w="14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12,641 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(16,744)</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1,957 </w:t>
            </w:r>
          </w:p>
        </w:tc>
        <w:tc>
          <w:tcPr>
            <w:tcW w:w="1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(14,787)</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2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reclassified from AOCL</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422 </w:t>
            </w:r>
          </w:p>
        </w:tc>
        <w:tc>
          <w:tcPr>
            <w:tcW w:w="14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1,630 </w:t>
            </w:r>
          </w:p>
        </w:tc>
        <w:tc>
          <w:tcPr>
            <w:tcW w:w="1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1,659 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current-period other comprehensive income (loss) (3)</w:t>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13,506 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64"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(443)</w:t>
            </w:r>
          </w:p>
        </w:tc>
        <w:tc>
          <w:tcPr>
            <w:tcW w:w="14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13,093 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(16,744)</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8"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3,587 </w:t>
            </w:r>
          </w:p>
        </w:tc>
        <w:tc>
          <w:tcPr>
            <w:tcW w:w="13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(13,128)</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2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Balance - March 31</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(541,177)</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8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(86,799)</w:t>
            </w:r>
          </w:p>
        </w:tc>
        <w:tc>
          <w:tcPr>
            <w:tcW w:w="14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8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(903)</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(628,879)</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(472,769)</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2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(98,078)</w:t>
            </w:r>
          </w:p>
        </w:tc>
        <w:tc>
          <w:tcPr>
            <w:tcW w:w="13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3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(1,307)</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(572,154)</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jc w:val="both"/>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________________________________</w:t>
      </w:r>
    </w:p>
    <w:p>
      <w:pPr>
        <w:pStyle w:val="TextBody"/>
        <w:spacing w:lineRule="auto" w:line="288" w:before="0" w:after="0"/>
        <w:ind w:left="0" w:right="0" w:hanging="360"/>
        <w:jc w:val="both"/>
        <w:rPr>
          <w:rFonts w:ascii="Times New Roman;sans-serif" w:hAnsi="Times New Roman;sans-serif"/>
          <w:b w:val="false"/>
          <w:color w:val="000000"/>
          <w:sz w:val="20"/>
        </w:rPr>
      </w:pPr>
      <w:r>
        <w:rPr>
          <w:rFonts w:ascii="Times New Roman;sans-serif" w:hAnsi="Times New Roman;sans-serif"/>
          <w:b w:val="false"/>
          <w:color w:val="000000"/>
          <w:sz w:val="20"/>
        </w:rPr>
        <w:t>(1) Includes foreign currency translation adjustments attributable to noncontrolling interests of $5.8 million and $4.6 million at January 1, 2023 and 2022, respectively, and $2.7 million and $5.9 million at March 31, 2023 and 2022, respectively. Also includes the impacts from the changes in fair value of our cross-currency swaps, which were $8.6 million for the three months ended March 31, 2022.</w:t>
      </w:r>
    </w:p>
    <w:p>
      <w:pPr>
        <w:pStyle w:val="TextBody"/>
        <w:spacing w:lineRule="auto" w:line="288" w:before="0" w:after="0"/>
        <w:ind w:left="0" w:right="0" w:hanging="360"/>
        <w:jc w:val="both"/>
        <w:rPr>
          <w:rFonts w:ascii="Times New Roman;sans-serif" w:hAnsi="Times New Roman;sans-serif"/>
          <w:b w:val="false"/>
          <w:color w:val="000000"/>
          <w:sz w:val="20"/>
        </w:rPr>
      </w:pPr>
      <w:r>
        <w:rPr>
          <w:rFonts w:ascii="Times New Roman;sans-serif" w:hAnsi="Times New Roman;sans-serif"/>
          <w:b w:val="false"/>
          <w:color w:val="000000"/>
          <w:sz w:val="20"/>
        </w:rPr>
        <w:t>(2) Other comprehensive loss before reclassifications and amounts reclassified from AOCL to interest expense related to designated cash flow hedges.</w:t>
      </w:r>
    </w:p>
    <w:p>
      <w:pPr>
        <w:pStyle w:val="TextBody"/>
        <w:spacing w:lineRule="auto" w:line="288" w:before="0" w:after="0"/>
        <w:ind w:left="0" w:right="0" w:hanging="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(3) Amounts in parentheses indicate an increase to AOCL. </w:t>
      </w:r>
    </w:p>
    <w:p>
      <w:pPr>
        <w:pStyle w:val="TextBody"/>
        <w:spacing w:before="0" w:after="0"/>
        <w:ind w:left="0" w:right="0" w:hanging="360"/>
        <w:jc w:val="both"/>
        <w:rPr/>
      </w:pPr>
      <w:r>
        <w:rPr/>
      </w:r>
    </w:p>
    <w:p>
      <w:pPr>
        <w:pStyle w:val="TextBody"/>
        <w:spacing w:lineRule="auto" w:line="288" w:before="0" w:after="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the reclassifications out of AOCL:</w:t>
      </w:r>
    </w:p>
    <w:tbl>
      <w:tblPr>
        <w:tblW w:w="10205" w:type="dxa"/>
        <w:jc w:val="left"/>
        <w:tblInd w:w="0" w:type="dxa"/>
        <w:tblCellMar>
          <w:top w:w="28" w:type="dxa"/>
          <w:left w:w="28" w:type="dxa"/>
          <w:bottom w:w="28" w:type="dxa"/>
          <w:right w:w="28" w:type="dxa"/>
        </w:tblCellMar>
      </w:tblPr>
      <w:tblGrid>
        <w:gridCol w:w="1173"/>
        <w:gridCol w:w="1014"/>
        <w:gridCol w:w="1010"/>
        <w:gridCol w:w="109"/>
        <w:gridCol w:w="109"/>
        <w:gridCol w:w="109"/>
        <w:gridCol w:w="1191"/>
        <w:gridCol w:w="1191"/>
        <w:gridCol w:w="1196"/>
        <w:gridCol w:w="109"/>
        <w:gridCol w:w="109"/>
        <w:gridCol w:w="109"/>
        <w:gridCol w:w="261"/>
        <w:gridCol w:w="666"/>
        <w:gridCol w:w="134"/>
        <w:gridCol w:w="134"/>
        <w:gridCol w:w="134"/>
        <w:gridCol w:w="134"/>
        <w:gridCol w:w="261"/>
        <w:gridCol w:w="853"/>
        <w:gridCol w:w="199"/>
      </w:tblGrid>
      <w:tr>
        <w:trPr/>
        <w:tc>
          <w:tcPr>
            <w:tcW w:w="1173" w:type="dxa"/>
            <w:tcBorders/>
            <w:shd w:fill="auto" w:val="clear"/>
            <w:vAlign w:val="center"/>
          </w:tcPr>
          <w:p>
            <w:pPr>
              <w:pStyle w:val="TableContents"/>
              <w:spacing w:before="0" w:after="283"/>
              <w:rPr>
                <w:sz w:val="4"/>
                <w:szCs w:val="4"/>
              </w:rPr>
            </w:pPr>
            <w:r>
              <w:rPr>
                <w:sz w:val="4"/>
                <w:szCs w:val="4"/>
              </w:rPr>
            </w:r>
          </w:p>
        </w:tc>
        <w:tc>
          <w:tcPr>
            <w:tcW w:w="1014" w:type="dxa"/>
            <w:tcBorders/>
            <w:shd w:fill="auto" w:val="clear"/>
            <w:vAlign w:val="center"/>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191" w:type="dxa"/>
            <w:tcBorders/>
            <w:shd w:fill="auto" w:val="clear"/>
            <w:vAlign w:val="center"/>
          </w:tcPr>
          <w:p>
            <w:pPr>
              <w:pStyle w:val="TableContents"/>
              <w:spacing w:before="0" w:after="283"/>
              <w:rPr>
                <w:sz w:val="4"/>
                <w:szCs w:val="4"/>
              </w:rPr>
            </w:pPr>
            <w:r>
              <w:rPr>
                <w:sz w:val="4"/>
                <w:szCs w:val="4"/>
              </w:rPr>
            </w:r>
          </w:p>
        </w:tc>
        <w:tc>
          <w:tcPr>
            <w:tcW w:w="1191" w:type="dxa"/>
            <w:tcBorders/>
            <w:shd w:fill="auto" w:val="clear"/>
            <w:vAlign w:val="center"/>
          </w:tcPr>
          <w:p>
            <w:pPr>
              <w:pStyle w:val="TableContents"/>
              <w:spacing w:before="0" w:after="283"/>
              <w:rPr>
                <w:sz w:val="4"/>
                <w:szCs w:val="4"/>
              </w:rPr>
            </w:pPr>
            <w:r>
              <w:rPr>
                <w:sz w:val="4"/>
                <w:szCs w:val="4"/>
              </w:rPr>
            </w:r>
          </w:p>
        </w:tc>
        <w:tc>
          <w:tcPr>
            <w:tcW w:w="11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666"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853"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76"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319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8"/>
              </w:rPr>
            </w:pPr>
            <w:r>
              <w:rPr>
                <w:rFonts w:ascii="Times New Roman;sans-serif" w:hAnsi="Times New Roman;sans-serif"/>
                <w:b w:val="false"/>
                <w:color w:val="000000"/>
                <w:sz w:val="18"/>
              </w:rPr>
              <w:t>(Amounts in thousands)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Affected line item in the statement of income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2023(1)</w:t>
            </w:r>
          </w:p>
        </w:tc>
        <w:tc>
          <w:tcPr>
            <w:tcW w:w="40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1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2022(1)</w:t>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61" w:type="dxa"/>
            <w:gridSpan w:val="3"/>
            <w:tcBorders/>
            <w:shd w:fill="auto" w:val="clear"/>
            <w:vAlign w:val="center"/>
          </w:tcPr>
          <w:p>
            <w:pPr>
              <w:pStyle w:val="TableContents"/>
              <w:spacing w:before="0" w:after="283"/>
              <w:rPr>
                <w:sz w:val="4"/>
                <w:szCs w:val="4"/>
              </w:rPr>
            </w:pPr>
            <w:r>
              <w:rPr>
                <w:sz w:val="4"/>
                <w:szCs w:val="4"/>
              </w:rPr>
            </w:r>
          </w:p>
        </w:tc>
        <w:tc>
          <w:tcPr>
            <w:tcW w:w="402" w:type="dxa"/>
            <w:gridSpan w:val="3"/>
            <w:tcBorders/>
            <w:shd w:fill="auto" w:val="clear"/>
            <w:vAlign w:val="center"/>
          </w:tcPr>
          <w:p>
            <w:pPr>
              <w:pStyle w:val="TableContents"/>
              <w:spacing w:before="0" w:after="283"/>
              <w:rPr>
                <w:sz w:val="4"/>
                <w:szCs w:val="4"/>
              </w:rPr>
            </w:pPr>
            <w:r>
              <w:rPr>
                <w:sz w:val="4"/>
                <w:szCs w:val="4"/>
              </w:rPr>
            </w:r>
          </w:p>
        </w:tc>
        <w:tc>
          <w:tcPr>
            <w:tcW w:w="1313" w:type="dxa"/>
            <w:gridSpan w:val="3"/>
            <w:tcBorders/>
            <w:shd w:fill="auto" w:val="clear"/>
            <w:vAlign w:val="center"/>
          </w:tcPr>
          <w:p>
            <w:pPr>
              <w:pStyle w:val="TableContents"/>
              <w:spacing w:before="0" w:after="283"/>
              <w:rPr>
                <w:sz w:val="4"/>
                <w:szCs w:val="4"/>
              </w:rPr>
            </w:pPr>
            <w:r>
              <w:rPr>
                <w:sz w:val="4"/>
                <w:szCs w:val="4"/>
              </w:rPr>
            </w:r>
          </w:p>
        </w:tc>
      </w:tr>
      <w:tr>
        <w:trPr/>
        <w:tc>
          <w:tcPr>
            <w:tcW w:w="319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Pension and other postretirement effects</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1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Amortization of actuarial losses(2)</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Other income (expense), net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6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(283)</w:t>
            </w:r>
          </w:p>
        </w:tc>
        <w:tc>
          <w:tcPr>
            <w:tcW w:w="13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3"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(1,732)</w:t>
            </w:r>
          </w:p>
        </w:tc>
        <w:tc>
          <w:tcPr>
            <w:tcW w:w="1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Prior service costs(2)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Other income (expense), net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(151)</w:t>
            </w:r>
          </w:p>
        </w:tc>
        <w:tc>
          <w:tcPr>
            <w:tcW w:w="13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(152)</w:t>
            </w:r>
          </w:p>
        </w:tc>
        <w:tc>
          <w:tcPr>
            <w:tcW w:w="19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Tax benefit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12 </w:t>
            </w:r>
          </w:p>
        </w:tc>
        <w:tc>
          <w:tcPr>
            <w:tcW w:w="13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254 </w:t>
            </w:r>
          </w:p>
        </w:tc>
        <w:tc>
          <w:tcPr>
            <w:tcW w:w="1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Net of tax</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6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(422)</w:t>
            </w:r>
          </w:p>
        </w:tc>
        <w:tc>
          <w:tcPr>
            <w:tcW w:w="13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(1,630)</w:t>
            </w:r>
          </w:p>
        </w:tc>
        <w:tc>
          <w:tcPr>
            <w:tcW w:w="19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1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flow hedging activity</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6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1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Amortization of Treasury rate lock</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Interest income (expense)</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6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w:t>
            </w:r>
          </w:p>
        </w:tc>
        <w:tc>
          <w:tcPr>
            <w:tcW w:w="13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3"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w:t>
            </w:r>
          </w:p>
        </w:tc>
        <w:tc>
          <w:tcPr>
            <w:tcW w:w="1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Tax benefit (expense)</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9 </w:t>
            </w:r>
          </w:p>
        </w:tc>
        <w:tc>
          <w:tcPr>
            <w:tcW w:w="13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9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9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Net of tax</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6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w:t>
            </w:r>
          </w:p>
        </w:tc>
        <w:tc>
          <w:tcPr>
            <w:tcW w:w="13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4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w:t>
            </w:r>
          </w:p>
        </w:tc>
        <w:tc>
          <w:tcPr>
            <w:tcW w:w="19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jc w:val="both"/>
        <w:rPr>
          <w:rFonts w:ascii="Times New Roman;sans-serif" w:hAnsi="Times New Roman;sans-serif"/>
          <w:b w:val="false"/>
          <w:color w:val="000000"/>
          <w:sz w:val="20"/>
        </w:rPr>
      </w:pPr>
      <w:r>
        <w:rPr>
          <w:rFonts w:ascii="Times New Roman;sans-serif" w:hAnsi="Times New Roman;sans-serif"/>
          <w:b w:val="false"/>
          <w:color w:val="000000"/>
          <w:sz w:val="20"/>
        </w:rPr>
        <w:t>__________________________________</w:t>
      </w:r>
    </w:p>
    <w:p>
      <w:pPr>
        <w:pStyle w:val="TextBody"/>
        <w:spacing w:lineRule="auto" w:line="288" w:before="0" w:after="0"/>
        <w:ind w:left="0" w:right="0" w:hanging="360"/>
        <w:rPr>
          <w:rFonts w:ascii="Times New Roman;sans-serif" w:hAnsi="Times New Roman;sans-serif"/>
          <w:b w:val="false"/>
          <w:color w:val="000000"/>
          <w:sz w:val="20"/>
        </w:rPr>
      </w:pPr>
      <w:r>
        <w:rPr>
          <w:rFonts w:ascii="Times New Roman;sans-serif" w:hAnsi="Times New Roman;sans-serif"/>
          <w:b w:val="false"/>
          <w:color w:val="000000"/>
          <w:sz w:val="20"/>
        </w:rPr>
        <w:t>(1) Amounts in parentheses indicate decreases to income. None of the reclassified amounts have a noncontrolling interest component.</w:t>
      </w:r>
    </w:p>
    <w:p>
      <w:pPr>
        <w:pStyle w:val="TextBody"/>
        <w:spacing w:lineRule="auto" w:line="288" w:before="0" w:after="0"/>
        <w:ind w:left="0" w:right="0" w:hanging="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(2) These AOCL components are included in the computation of net periodic pension cost. See Note 11 for additional details.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2">
                <wp:simplePos x="0" y="0"/>
                <wp:positionH relativeFrom="character">
                  <wp:align>left</wp:align>
                </wp:positionH>
                <wp:positionV relativeFrom="line">
                  <wp:posOffset>635</wp:posOffset>
                </wp:positionV>
                <wp:extent cx="6480175" cy="351155"/>
                <wp:effectExtent l="0" t="0" r="0" b="0"/>
                <wp:wrapNone/>
                <wp:docPr id="21" name="Frame2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15</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00" w:after="100"/>
        <w:ind w:left="0" w:right="0" w:hanging="360"/>
        <w:jc w:val="both"/>
        <w:rPr>
          <w:rFonts w:ascii="Times New Roman;sans-serif" w:hAnsi="Times New Roman;sans-serif"/>
          <w:b/>
          <w:color w:val="000000"/>
          <w:sz w:val="20"/>
        </w:rPr>
      </w:pPr>
      <w:r>
        <w:rPr>
          <w:rFonts w:ascii="Times New Roman;sans-serif" w:hAnsi="Times New Roman;sans-serif"/>
          <w:b/>
          <w:color w:val="000000"/>
          <w:sz w:val="20"/>
        </w:rPr>
        <w:t xml:space="preserve">16.Realignment Programs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the second quarter of 2020, we identified and initiated certain realignment activities to right-size our organizational operations based on the current business environment, with the overall objective to reduce our workforce costs, including manufacturing optimization through the consolidation of certain facilities ("2020 Realignment Program"). As of December 31, 2022 the 2020 Realignment Program was substantially complete with a minimal amount of residual charges to be incurred prospectively.</w:t>
      </w:r>
    </w:p>
    <w:p>
      <w:pPr>
        <w:pStyle w:val="TextBody"/>
        <w:spacing w:lineRule="auto" w:line="288" w:before="120" w:after="283"/>
        <w:ind w:left="0" w:right="0" w:firstLine="360"/>
        <w:jc w:val="both"/>
        <w:rPr/>
      </w:pPr>
      <w:r>
        <w:rPr>
          <w:rFonts w:ascii="Times New Roman;sans-serif" w:hAnsi="Times New Roman;sans-serif"/>
          <w:b w:val="false"/>
          <w:color w:val="000000"/>
          <w:sz w:val="20"/>
        </w:rPr>
        <w:t>In the first quarter of 2023, we identified and initiated certain realignment activities concurrent with the consolidation of our aftermarket and pump operations into a single operating model. This consolidated operating model is designed to better align our go to market strategy with our product offerings, enable end-to-end lifecycle responsibility and accountability, and to facilitate more efficient operations. Additionally, we committed to an estimated $50 million in cost reduction efforts to begin in 2023. Collectively, the above realignment activities are referred to as the 2023 Realignment Program. The 2023 Realignment Program activities will be identified and implemented in phases throughout 2023. The realignment activities consist of restructuring and non-restructuring charges. Restructuring charges represent costs associated with the relocation of certain business activities and facility closures and include related severance costs. Non-restructuring charges are primarily employee severance associated with the workforce reductions. Expenses are primarily reported in cost of sales ("COS") or selling, general and administrative ("SG&amp;A"), as applicable, in our consolidated statements of income. We currently anticipate a total investment in realignment activities that have been evaluated and initiated of approximately $25 million.</w:t>
      </w:r>
      <w:r>
        <w:rPr>
          <w:color w:val="000000"/>
          <w:highlight w:val="white"/>
        </w:rPr>
        <w:t xml:space="preserve"> </w:t>
      </w:r>
      <w:r>
        <w:rPr>
          <w:rFonts w:ascii="Times New Roman;sans-serif" w:hAnsi="Times New Roman;sans-serif"/>
          <w:b w:val="false"/>
          <w:color w:val="000000"/>
          <w:sz w:val="20"/>
        </w:rPr>
        <w:t>There are certain other realignment activities that are currently being evaluated, but have not yet been initiated and therefore are not included in the above anticipated total investment.</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Generally, the aforementioned charges will be paid in cash, except for asset write-downs, which are non-cash charges. The following is a summary of total charges, net of adjustments, incurred related to our Realignment Programs:</w:t>
      </w:r>
    </w:p>
    <w:tbl>
      <w:tblPr>
        <w:tblW w:w="10205" w:type="dxa"/>
        <w:jc w:val="left"/>
        <w:tblInd w:w="0" w:type="dxa"/>
        <w:tblCellMar>
          <w:top w:w="28" w:type="dxa"/>
          <w:left w:w="28" w:type="dxa"/>
          <w:bottom w:w="28" w:type="dxa"/>
          <w:right w:w="28" w:type="dxa"/>
        </w:tblCellMar>
      </w:tblPr>
      <w:tblGrid>
        <w:gridCol w:w="854"/>
        <w:gridCol w:w="751"/>
        <w:gridCol w:w="634"/>
        <w:gridCol w:w="211"/>
        <w:gridCol w:w="672"/>
        <w:gridCol w:w="109"/>
        <w:gridCol w:w="109"/>
        <w:gridCol w:w="109"/>
        <w:gridCol w:w="109"/>
        <w:gridCol w:w="211"/>
        <w:gridCol w:w="616"/>
        <w:gridCol w:w="109"/>
        <w:gridCol w:w="109"/>
        <w:gridCol w:w="109"/>
        <w:gridCol w:w="109"/>
        <w:gridCol w:w="442"/>
        <w:gridCol w:w="1509"/>
        <w:gridCol w:w="230"/>
        <w:gridCol w:w="109"/>
        <w:gridCol w:w="109"/>
        <w:gridCol w:w="109"/>
        <w:gridCol w:w="211"/>
        <w:gridCol w:w="616"/>
        <w:gridCol w:w="109"/>
        <w:gridCol w:w="109"/>
        <w:gridCol w:w="109"/>
        <w:gridCol w:w="109"/>
        <w:gridCol w:w="312"/>
        <w:gridCol w:w="1068"/>
        <w:gridCol w:w="233"/>
      </w:tblGrid>
      <w:tr>
        <w:trPr/>
        <w:tc>
          <w:tcPr>
            <w:tcW w:w="854" w:type="dxa"/>
            <w:tcBorders/>
            <w:shd w:fill="auto" w:val="clear"/>
            <w:vAlign w:val="center"/>
          </w:tcPr>
          <w:p>
            <w:pPr>
              <w:pStyle w:val="TableContents"/>
              <w:spacing w:before="0" w:after="283"/>
              <w:rPr>
                <w:sz w:val="4"/>
                <w:szCs w:val="4"/>
              </w:rPr>
            </w:pPr>
            <w:r>
              <w:rPr>
                <w:sz w:val="4"/>
                <w:szCs w:val="4"/>
              </w:rPr>
            </w:r>
          </w:p>
        </w:tc>
        <w:tc>
          <w:tcPr>
            <w:tcW w:w="751" w:type="dxa"/>
            <w:tcBorders/>
            <w:shd w:fill="auto" w:val="clear"/>
            <w:vAlign w:val="center"/>
          </w:tcPr>
          <w:p>
            <w:pPr>
              <w:pStyle w:val="TableContents"/>
              <w:spacing w:before="0" w:after="283"/>
              <w:rPr>
                <w:sz w:val="4"/>
                <w:szCs w:val="4"/>
              </w:rPr>
            </w:pPr>
            <w:r>
              <w:rPr>
                <w:sz w:val="4"/>
                <w:szCs w:val="4"/>
              </w:rPr>
            </w:r>
          </w:p>
        </w:tc>
        <w:tc>
          <w:tcPr>
            <w:tcW w:w="634"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150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66"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99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18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All Other</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61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2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Realignment Charges</w:t>
            </w:r>
          </w:p>
        </w:tc>
        <w:tc>
          <w:tcPr>
            <w:tcW w:w="992"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 xml:space="preserve">Restructuring Charges </w:t>
            </w:r>
          </w:p>
        </w:tc>
        <w:tc>
          <w:tcPr>
            <w:tcW w:w="99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0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(946)</w:t>
            </w:r>
          </w:p>
        </w:tc>
        <w:tc>
          <w:tcPr>
            <w:tcW w:w="2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8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2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0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7,893 </w:t>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7,959 </w:t>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 xml:space="preserve">Non-Restructuring Charges </w:t>
            </w:r>
          </w:p>
        </w:tc>
        <w:tc>
          <w:tcPr>
            <w:tcW w:w="992"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3"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r>
      <w:tr>
        <w:trPr/>
        <w:tc>
          <w:tcPr>
            <w:tcW w:w="2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COS</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1,402 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0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1,413 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1,148 </w:t>
            </w:r>
          </w:p>
        </w:tc>
        <w:tc>
          <w:tcPr>
            <w:tcW w:w="2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8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2,051 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7,772 </w:t>
            </w:r>
          </w:p>
        </w:tc>
        <w:tc>
          <w:tcPr>
            <w:tcW w:w="2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3,452 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0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3,464 </w:t>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5,456 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8,920 </w:t>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 Realignment Charges</w:t>
            </w:r>
          </w:p>
        </w:tc>
        <w:tc>
          <w:tcPr>
            <w:tcW w:w="99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0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401 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(199)</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202 </w:t>
            </w:r>
          </w:p>
        </w:tc>
        <w:tc>
          <w:tcPr>
            <w:tcW w:w="2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color w:val="000000"/>
                <w:sz w:val="20"/>
              </w:rPr>
              <w:t>SG&amp;A</w:t>
            </w:r>
          </w:p>
        </w:tc>
        <w:tc>
          <w:tcPr>
            <w:tcW w:w="88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10,956 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16,677 </w:t>
            </w:r>
          </w:p>
        </w:tc>
        <w:tc>
          <w:tcPr>
            <w:tcW w:w="2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39"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3" w:type="dxa"/>
            <w:gridSpan w:val="3"/>
            <w:tcBorders/>
            <w:shd w:fill="auto" w:val="clear"/>
            <w:vAlign w:val="center"/>
          </w:tcPr>
          <w:p>
            <w:pPr>
              <w:pStyle w:val="TableContents"/>
              <w:spacing w:before="0" w:after="283"/>
              <w:rPr>
                <w:sz w:val="4"/>
                <w:szCs w:val="4"/>
              </w:rPr>
            </w:pPr>
            <w:r>
              <w:rPr>
                <w:sz w:val="4"/>
                <w:szCs w:val="4"/>
              </w:rPr>
            </w:r>
          </w:p>
        </w:tc>
      </w:tr>
      <w:tr>
        <w:trPr/>
        <w:tc>
          <w:tcPr>
            <w:tcW w:w="22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2,440 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8,917 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11,357 </w:t>
            </w:r>
          </w:p>
        </w:tc>
        <w:tc>
          <w:tcPr>
            <w:tcW w:w="23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5,522 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16,879 </w:t>
            </w:r>
          </w:p>
        </w:tc>
        <w:tc>
          <w:tcPr>
            <w:tcW w:w="23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100"/>
        <w:ind w:left="0" w:right="0" w:hanging="270"/>
        <w:jc w:val="both"/>
        <w:rPr/>
      </w:pPr>
      <w:r>
        <w:rPr/>
      </w:r>
    </w:p>
    <w:p>
      <w:pPr>
        <w:pStyle w:val="HorizontalLine"/>
        <w:rPr/>
      </w:pPr>
      <w:r>
        <w:rPr/>
      </w:r>
      <w:r>
        <mc:AlternateContent>
          <mc:Choice Requires="wps">
            <w:drawing>
              <wp:anchor behindDoc="0" distT="0" distB="0" distL="0" distR="0" simplePos="0" locked="0" layoutInCell="1" allowOverlap="1" relativeHeight="23">
                <wp:simplePos x="0" y="0"/>
                <wp:positionH relativeFrom="character">
                  <wp:align>left</wp:align>
                </wp:positionH>
                <wp:positionV relativeFrom="line">
                  <wp:posOffset>635</wp:posOffset>
                </wp:positionV>
                <wp:extent cx="6480175" cy="351155"/>
                <wp:effectExtent l="0" t="0" r="0" b="0"/>
                <wp:wrapNone/>
                <wp:docPr id="22" name="Frame2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16</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tbl>
      <w:tblPr>
        <w:tblW w:w="10205" w:type="dxa"/>
        <w:jc w:val="left"/>
        <w:tblInd w:w="0" w:type="dxa"/>
        <w:tblCellMar>
          <w:top w:w="28" w:type="dxa"/>
          <w:left w:w="28" w:type="dxa"/>
          <w:bottom w:w="28" w:type="dxa"/>
          <w:right w:w="28" w:type="dxa"/>
        </w:tblCellMar>
      </w:tblPr>
      <w:tblGrid>
        <w:gridCol w:w="875"/>
        <w:gridCol w:w="770"/>
        <w:gridCol w:w="696"/>
        <w:gridCol w:w="211"/>
        <w:gridCol w:w="528"/>
        <w:gridCol w:w="109"/>
        <w:gridCol w:w="109"/>
        <w:gridCol w:w="109"/>
        <w:gridCol w:w="109"/>
        <w:gridCol w:w="211"/>
        <w:gridCol w:w="423"/>
        <w:gridCol w:w="109"/>
        <w:gridCol w:w="109"/>
        <w:gridCol w:w="109"/>
        <w:gridCol w:w="109"/>
        <w:gridCol w:w="621"/>
        <w:gridCol w:w="1421"/>
        <w:gridCol w:w="324"/>
        <w:gridCol w:w="109"/>
        <w:gridCol w:w="109"/>
        <w:gridCol w:w="109"/>
        <w:gridCol w:w="230"/>
        <w:gridCol w:w="578"/>
        <w:gridCol w:w="118"/>
        <w:gridCol w:w="109"/>
        <w:gridCol w:w="109"/>
        <w:gridCol w:w="109"/>
        <w:gridCol w:w="414"/>
        <w:gridCol w:w="946"/>
        <w:gridCol w:w="313"/>
      </w:tblGrid>
      <w:tr>
        <w:trPr/>
        <w:tc>
          <w:tcPr>
            <w:tcW w:w="875" w:type="dxa"/>
            <w:tcBorders/>
            <w:shd w:fill="auto" w:val="clear"/>
            <w:vAlign w:val="center"/>
          </w:tcPr>
          <w:p>
            <w:pPr>
              <w:pStyle w:val="TableContents"/>
              <w:spacing w:before="0" w:after="283"/>
              <w:rPr>
                <w:sz w:val="4"/>
                <w:szCs w:val="4"/>
              </w:rPr>
            </w:pPr>
            <w:r>
              <w:rPr>
                <w:sz w:val="4"/>
                <w:szCs w:val="4"/>
              </w:rPr>
            </w:r>
          </w:p>
        </w:tc>
        <w:tc>
          <w:tcPr>
            <w:tcW w:w="770"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21" w:type="dxa"/>
            <w:tcBorders/>
            <w:shd w:fill="auto" w:val="clear"/>
            <w:vAlign w:val="center"/>
          </w:tcPr>
          <w:p>
            <w:pPr>
              <w:pStyle w:val="TableContents"/>
              <w:spacing w:before="0" w:after="283"/>
              <w:rPr>
                <w:sz w:val="4"/>
                <w:szCs w:val="4"/>
              </w:rPr>
            </w:pPr>
            <w:r>
              <w:rPr>
                <w:sz w:val="4"/>
                <w:szCs w:val="4"/>
              </w:rPr>
            </w:r>
          </w:p>
        </w:tc>
        <w:tc>
          <w:tcPr>
            <w:tcW w:w="1421"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57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946"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864"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84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74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3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Times New Roman;sans-serif" w:hAnsi="Times New Roman;sans-serif"/>
                <w:b/>
                <w:color w:val="000000"/>
                <w:sz w:val="20"/>
              </w:rPr>
              <w:t>All Other</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67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23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Realignment Charges</w:t>
            </w:r>
          </w:p>
        </w:tc>
        <w:tc>
          <w:tcPr>
            <w:tcW w:w="848"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7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 xml:space="preserve">Restructuring Charges </w:t>
            </w:r>
          </w:p>
        </w:tc>
        <w:tc>
          <w:tcPr>
            <w:tcW w:w="84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7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276 </w:t>
            </w:r>
          </w:p>
        </w:tc>
        <w:tc>
          <w:tcPr>
            <w:tcW w:w="32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276 </w:t>
            </w:r>
          </w:p>
        </w:tc>
        <w:tc>
          <w:tcPr>
            <w:tcW w:w="3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73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3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0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6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276 </w:t>
            </w:r>
          </w:p>
        </w:tc>
        <w:tc>
          <w:tcPr>
            <w:tcW w:w="32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276 </w:t>
            </w:r>
          </w:p>
        </w:tc>
        <w:tc>
          <w:tcPr>
            <w:tcW w:w="3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 xml:space="preserve">Non-Restructuring Charges </w:t>
            </w:r>
          </w:p>
        </w:tc>
        <w:tc>
          <w:tcPr>
            <w:tcW w:w="848"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3"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73"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r>
      <w:tr>
        <w:trPr/>
        <w:tc>
          <w:tcPr>
            <w:tcW w:w="23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(49)</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(413)</w:t>
            </w:r>
          </w:p>
        </w:tc>
        <w:tc>
          <w:tcPr>
            <w:tcW w:w="32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w:t>
            </w:r>
          </w:p>
        </w:tc>
        <w:tc>
          <w:tcPr>
            <w:tcW w:w="11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(474)</w:t>
            </w:r>
          </w:p>
        </w:tc>
        <w:tc>
          <w:tcPr>
            <w:tcW w:w="3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73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3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92 </w:t>
            </w:r>
          </w:p>
        </w:tc>
        <w:tc>
          <w:tcPr>
            <w:tcW w:w="32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0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(293)</w:t>
            </w:r>
          </w:p>
        </w:tc>
        <w:tc>
          <w:tcPr>
            <w:tcW w:w="11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6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(201)</w:t>
            </w:r>
          </w:p>
        </w:tc>
        <w:tc>
          <w:tcPr>
            <w:tcW w:w="3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(289)</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(321)</w:t>
            </w:r>
          </w:p>
        </w:tc>
        <w:tc>
          <w:tcPr>
            <w:tcW w:w="32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(354)</w:t>
            </w:r>
          </w:p>
        </w:tc>
        <w:tc>
          <w:tcPr>
            <w:tcW w:w="11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(675)</w:t>
            </w:r>
          </w:p>
        </w:tc>
        <w:tc>
          <w:tcPr>
            <w:tcW w:w="31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 xml:space="preserve">Total Realignment Charges </w:t>
            </w:r>
          </w:p>
        </w:tc>
        <w:tc>
          <w:tcPr>
            <w:tcW w:w="848"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6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7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(83)</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2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(137)</w:t>
            </w:r>
          </w:p>
        </w:tc>
        <w:tc>
          <w:tcPr>
            <w:tcW w:w="32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w:t>
            </w:r>
          </w:p>
        </w:tc>
        <w:tc>
          <w:tcPr>
            <w:tcW w:w="11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(198)</w:t>
            </w:r>
          </w:p>
        </w:tc>
        <w:tc>
          <w:tcPr>
            <w:tcW w:w="31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color w:val="000000"/>
                <w:sz w:val="20"/>
              </w:rPr>
              <w:t>SG&amp;A</w:t>
            </w:r>
          </w:p>
        </w:tc>
        <w:tc>
          <w:tcPr>
            <w:tcW w:w="73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3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92 </w:t>
            </w:r>
          </w:p>
        </w:tc>
        <w:tc>
          <w:tcPr>
            <w:tcW w:w="32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0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(293)</w:t>
            </w:r>
          </w:p>
        </w:tc>
        <w:tc>
          <w:tcPr>
            <w:tcW w:w="11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6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(201)</w:t>
            </w:r>
          </w:p>
        </w:tc>
        <w:tc>
          <w:tcPr>
            <w:tcW w:w="31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2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w:t>
            </w:r>
          </w:p>
        </w:tc>
        <w:tc>
          <w:tcPr>
            <w:tcW w:w="32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(354)</w:t>
            </w:r>
          </w:p>
        </w:tc>
        <w:tc>
          <w:tcPr>
            <w:tcW w:w="11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94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(399)</w:t>
            </w:r>
          </w:p>
        </w:tc>
        <w:tc>
          <w:tcPr>
            <w:tcW w:w="31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r>
        <w:trPr/>
        <w:tc>
          <w:tcPr>
            <w:tcW w:w="2341" w:type="dxa"/>
            <w:gridSpan w:val="3"/>
            <w:tcBorders/>
            <w:shd w:fill="auto" w:val="clear"/>
            <w:vAlign w:val="center"/>
          </w:tcPr>
          <w:p>
            <w:pPr>
              <w:pStyle w:val="TableContents"/>
              <w:spacing w:before="0" w:after="283"/>
              <w:rPr>
                <w:sz w:val="4"/>
                <w:szCs w:val="4"/>
              </w:rPr>
            </w:pPr>
            <w:r>
              <w:rPr>
                <w:sz w:val="4"/>
                <w:szCs w:val="4"/>
              </w:rPr>
            </w:r>
          </w:p>
        </w:tc>
        <w:tc>
          <w:tcPr>
            <w:tcW w:w="84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73" w:type="dxa"/>
            <w:gridSpan w:val="3"/>
            <w:tcBorders/>
            <w:shd w:fill="auto" w:val="clear"/>
            <w:vAlign w:val="center"/>
          </w:tcPr>
          <w:p>
            <w:pPr>
              <w:pStyle w:val="TableContents"/>
              <w:spacing w:before="0" w:after="283"/>
              <w:rPr>
                <w:sz w:val="4"/>
                <w:szCs w:val="4"/>
              </w:rPr>
            </w:pPr>
            <w:r>
              <w:rPr>
                <w:sz w:val="4"/>
                <w:szCs w:val="4"/>
              </w:rPr>
            </w:r>
          </w:p>
        </w:tc>
      </w:tr>
    </w:tbl>
    <w:p>
      <w:pPr>
        <w:pStyle w:val="TextBody"/>
        <w:spacing w:before="100" w:after="100"/>
        <w:ind w:left="0" w:right="0" w:hanging="360"/>
        <w:jc w:val="both"/>
        <w:rPr/>
      </w:pPr>
      <w:r>
        <w:rPr/>
      </w:r>
    </w:p>
    <w:p>
      <w:pPr>
        <w:pStyle w:val="TextBody"/>
        <w:spacing w:before="100" w:after="100"/>
        <w:ind w:left="0" w:right="0" w:hanging="270"/>
        <w:jc w:val="both"/>
        <w:rPr/>
      </w:pPr>
      <w:r>
        <w:rPr/>
      </w:r>
    </w:p>
    <w:p>
      <w:pPr>
        <w:pStyle w:val="TextBody"/>
        <w:spacing w:before="100" w:after="100"/>
        <w:ind w:left="0" w:right="0" w:hanging="270"/>
        <w:jc w:val="both"/>
        <w:rPr/>
      </w:pPr>
      <w:r>
        <w:rPr/>
      </w:r>
    </w:p>
    <w:p>
      <w:pPr>
        <w:pStyle w:val="HorizontalLine"/>
        <w:rPr/>
      </w:pPr>
      <w:r>
        <w:rPr/>
      </w:r>
      <w:r>
        <mc:AlternateContent>
          <mc:Choice Requires="wps">
            <w:drawing>
              <wp:anchor behindDoc="0" distT="0" distB="0" distL="0" distR="0" simplePos="0" locked="0" layoutInCell="1" allowOverlap="1" relativeHeight="24">
                <wp:simplePos x="0" y="0"/>
                <wp:positionH relativeFrom="character">
                  <wp:align>left</wp:align>
                </wp:positionH>
                <wp:positionV relativeFrom="line">
                  <wp:posOffset>635</wp:posOffset>
                </wp:positionV>
                <wp:extent cx="6480175" cy="351155"/>
                <wp:effectExtent l="0" t="0" r="0" b="0"/>
                <wp:wrapNone/>
                <wp:docPr id="23" name="Frame2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17</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before="0" w:after="0"/>
        <w:jc w:val="both"/>
        <w:rPr/>
      </w:pPr>
      <w:r>
        <w:rPr/>
      </w:r>
    </w:p>
    <w:p>
      <w:pPr>
        <w:pStyle w:val="TextBody"/>
        <w:spacing w:lineRule="auto" w:line="288" w:before="12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is a summary of total inception to date charges, net of adjustments, related to the 2023 Realignment Programs:</w:t>
      </w:r>
    </w:p>
    <w:tbl>
      <w:tblPr>
        <w:tblW w:w="10205" w:type="dxa"/>
        <w:jc w:val="left"/>
        <w:tblInd w:w="0" w:type="dxa"/>
        <w:tblCellMar>
          <w:top w:w="28" w:type="dxa"/>
          <w:left w:w="28" w:type="dxa"/>
          <w:bottom w:w="28" w:type="dxa"/>
          <w:right w:w="28" w:type="dxa"/>
        </w:tblCellMar>
      </w:tblPr>
      <w:tblGrid>
        <w:gridCol w:w="842"/>
        <w:gridCol w:w="741"/>
        <w:gridCol w:w="637"/>
        <w:gridCol w:w="211"/>
        <w:gridCol w:w="672"/>
        <w:gridCol w:w="109"/>
        <w:gridCol w:w="109"/>
        <w:gridCol w:w="109"/>
        <w:gridCol w:w="109"/>
        <w:gridCol w:w="211"/>
        <w:gridCol w:w="616"/>
        <w:gridCol w:w="109"/>
        <w:gridCol w:w="109"/>
        <w:gridCol w:w="109"/>
        <w:gridCol w:w="109"/>
        <w:gridCol w:w="442"/>
        <w:gridCol w:w="1511"/>
        <w:gridCol w:w="230"/>
        <w:gridCol w:w="109"/>
        <w:gridCol w:w="109"/>
        <w:gridCol w:w="109"/>
        <w:gridCol w:w="214"/>
        <w:gridCol w:w="627"/>
        <w:gridCol w:w="110"/>
        <w:gridCol w:w="109"/>
        <w:gridCol w:w="109"/>
        <w:gridCol w:w="109"/>
        <w:gridCol w:w="313"/>
        <w:gridCol w:w="1069"/>
        <w:gridCol w:w="233"/>
      </w:tblGrid>
      <w:tr>
        <w:trPr/>
        <w:tc>
          <w:tcPr>
            <w:tcW w:w="842" w:type="dxa"/>
            <w:tcBorders/>
            <w:shd w:fill="auto" w:val="clear"/>
            <w:vAlign w:val="center"/>
          </w:tcPr>
          <w:p>
            <w:pPr>
              <w:pStyle w:val="TableContents"/>
              <w:spacing w:before="0" w:after="283"/>
              <w:rPr>
                <w:sz w:val="4"/>
                <w:szCs w:val="4"/>
              </w:rPr>
            </w:pPr>
            <w:r>
              <w:rPr>
                <w:sz w:val="4"/>
                <w:szCs w:val="4"/>
              </w:rPr>
            </w:r>
          </w:p>
        </w:tc>
        <w:tc>
          <w:tcPr>
            <w:tcW w:w="741"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1511"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627"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c>
          <w:tcPr>
            <w:tcW w:w="1069"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222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85"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Inception to Date</w:t>
            </w:r>
          </w:p>
        </w:tc>
      </w:tr>
      <w:tr>
        <w:trPr/>
        <w:tc>
          <w:tcPr>
            <w:tcW w:w="222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99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18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5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Times New Roman;sans-serif" w:hAnsi="Times New Roman;sans-serif"/>
                <w:b/>
                <w:color w:val="000000"/>
                <w:sz w:val="20"/>
              </w:rPr>
              <w:t>All Other</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222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Realignment Charges</w:t>
            </w:r>
          </w:p>
        </w:tc>
        <w:tc>
          <w:tcPr>
            <w:tcW w:w="992"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Restructuring Charges</w:t>
            </w:r>
          </w:p>
        </w:tc>
        <w:tc>
          <w:tcPr>
            <w:tcW w:w="99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27"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1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(946)</w:t>
            </w:r>
          </w:p>
        </w:tc>
        <w:tc>
          <w:tcPr>
            <w:tcW w:w="2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8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2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5" w:type="dxa"/>
            <w:gridSpan w:val="3"/>
            <w:tcBorders/>
            <w:shd w:fill="auto" w:val="clear"/>
            <w:vAlign w:val="center"/>
          </w:tcPr>
          <w:p>
            <w:pPr>
              <w:pStyle w:val="TableContents"/>
              <w:spacing w:before="0" w:after="283"/>
              <w:rPr>
                <w:sz w:val="4"/>
                <w:szCs w:val="4"/>
              </w:rPr>
            </w:pPr>
            <w:r>
              <w:rPr>
                <w:sz w:val="4"/>
                <w:szCs w:val="4"/>
              </w:rPr>
            </w:r>
          </w:p>
        </w:tc>
      </w:tr>
      <w:tr>
        <w:trPr/>
        <w:tc>
          <w:tcPr>
            <w:tcW w:w="222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7,893 </w:t>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2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1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7,959 </w:t>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Non-Restructuring Charges</w:t>
            </w:r>
          </w:p>
        </w:tc>
        <w:tc>
          <w:tcPr>
            <w:tcW w:w="992"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r>
      <w:tr>
        <w:trPr/>
        <w:tc>
          <w:tcPr>
            <w:tcW w:w="222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1,402 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1,413 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27"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(265)</w:t>
            </w:r>
          </w:p>
        </w:tc>
        <w:tc>
          <w:tcPr>
            <w:tcW w:w="1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1,148 </w:t>
            </w:r>
          </w:p>
        </w:tc>
        <w:tc>
          <w:tcPr>
            <w:tcW w:w="2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8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2,051 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5,721 </w:t>
            </w:r>
          </w:p>
        </w:tc>
        <w:tc>
          <w:tcPr>
            <w:tcW w:w="1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7,772 </w:t>
            </w:r>
          </w:p>
        </w:tc>
        <w:tc>
          <w:tcPr>
            <w:tcW w:w="2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3,452 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3,464 </w:t>
            </w:r>
          </w:p>
        </w:tc>
        <w:tc>
          <w:tcPr>
            <w:tcW w:w="2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2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5,456 </w:t>
            </w:r>
          </w:p>
        </w:tc>
        <w:tc>
          <w:tcPr>
            <w:tcW w:w="1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8,920 </w:t>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 Realignment Charges</w:t>
            </w:r>
          </w:p>
        </w:tc>
        <w:tc>
          <w:tcPr>
            <w:tcW w:w="99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401 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27"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(199)</w:t>
            </w:r>
          </w:p>
        </w:tc>
        <w:tc>
          <w:tcPr>
            <w:tcW w:w="1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202 </w:t>
            </w:r>
          </w:p>
        </w:tc>
        <w:tc>
          <w:tcPr>
            <w:tcW w:w="233"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color w:val="000000"/>
                <w:sz w:val="20"/>
              </w:rPr>
              <w:t>SG&amp;A</w:t>
            </w:r>
          </w:p>
        </w:tc>
        <w:tc>
          <w:tcPr>
            <w:tcW w:w="88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10,956 </w:t>
            </w:r>
          </w:p>
        </w:tc>
        <w:tc>
          <w:tcPr>
            <w:tcW w:w="23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5,721 </w:t>
            </w:r>
          </w:p>
        </w:tc>
        <w:tc>
          <w:tcPr>
            <w:tcW w:w="1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16,677 </w:t>
            </w:r>
          </w:p>
        </w:tc>
        <w:tc>
          <w:tcPr>
            <w:tcW w:w="233"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220" w:type="dxa"/>
            <w:gridSpan w:val="3"/>
            <w:tcBorders/>
            <w:shd w:fill="auto" w:val="clear"/>
            <w:vAlign w:val="center"/>
          </w:tcPr>
          <w:p>
            <w:pPr>
              <w:pStyle w:val="TableContents"/>
              <w:spacing w:before="0" w:after="283"/>
              <w:rPr>
                <w:sz w:val="4"/>
                <w:szCs w:val="4"/>
              </w:rPr>
            </w:pPr>
            <w:r>
              <w:rPr>
                <w:sz w:val="4"/>
                <w:szCs w:val="4"/>
              </w:rPr>
            </w:r>
          </w:p>
        </w:tc>
        <w:tc>
          <w:tcPr>
            <w:tcW w:w="99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18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615" w:type="dxa"/>
            <w:gridSpan w:val="3"/>
            <w:tcBorders/>
            <w:shd w:fill="auto" w:val="clear"/>
            <w:vAlign w:val="center"/>
          </w:tcPr>
          <w:p>
            <w:pPr>
              <w:pStyle w:val="TableContents"/>
              <w:spacing w:before="0" w:after="283"/>
              <w:rPr>
                <w:sz w:val="4"/>
                <w:szCs w:val="4"/>
              </w:rPr>
            </w:pPr>
            <w:r>
              <w:rPr>
                <w:sz w:val="4"/>
                <w:szCs w:val="4"/>
              </w:rPr>
            </w:r>
          </w:p>
        </w:tc>
      </w:tr>
      <w:tr>
        <w:trPr/>
        <w:tc>
          <w:tcPr>
            <w:tcW w:w="222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2,440 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8,917 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4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11,357 </w:t>
            </w:r>
          </w:p>
        </w:tc>
        <w:tc>
          <w:tcPr>
            <w:tcW w:w="23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2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5,522 </w:t>
            </w:r>
          </w:p>
        </w:tc>
        <w:tc>
          <w:tcPr>
            <w:tcW w:w="11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6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16,879 </w:t>
            </w:r>
          </w:p>
        </w:tc>
        <w:tc>
          <w:tcPr>
            <w:tcW w:w="23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8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Restructuring charges represent costs associated with the relocation or reorganization of certain business activities and facility closures and include costs related to employee severance at closed facilities, contract termination costs, asset write-downs and other costs. Severance costs primarily include costs associated with involuntary termination benefits. Contract termination costs include costs related to the termination of operating leases or other contract termination costs. Asset write-downs include accelerated depreciation of fixed assets, accelerated amortization of intangible assets, divestiture of certain non-strategic assets and inventory write-downs. Other costs generally include costs related to employee relocation, asset relocation, vacant facility costs (i.e., taxes and insurance) and other charges.</w:t>
      </w:r>
    </w:p>
    <w:p>
      <w:pPr>
        <w:pStyle w:val="TextBody"/>
        <w:spacing w:lineRule="auto" w:line="288" w:before="120" w:after="283"/>
        <w:ind w:left="0" w:right="0" w:firstLine="288"/>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following is a summary of restructuring charges, net of adjustments, for our restructuring activities related to our Realignment Programs: </w:t>
      </w:r>
    </w:p>
    <w:tbl>
      <w:tblPr>
        <w:tblW w:w="10205" w:type="dxa"/>
        <w:jc w:val="left"/>
        <w:tblInd w:w="0" w:type="dxa"/>
        <w:tblCellMar>
          <w:top w:w="28" w:type="dxa"/>
          <w:left w:w="28" w:type="dxa"/>
          <w:bottom w:w="28" w:type="dxa"/>
          <w:right w:w="28" w:type="dxa"/>
        </w:tblCellMar>
      </w:tblPr>
      <w:tblGrid>
        <w:gridCol w:w="663"/>
        <w:gridCol w:w="584"/>
        <w:gridCol w:w="588"/>
        <w:gridCol w:w="262"/>
        <w:gridCol w:w="578"/>
        <w:gridCol w:w="136"/>
        <w:gridCol w:w="109"/>
        <w:gridCol w:w="109"/>
        <w:gridCol w:w="109"/>
        <w:gridCol w:w="610"/>
        <w:gridCol w:w="1044"/>
        <w:gridCol w:w="317"/>
        <w:gridCol w:w="109"/>
        <w:gridCol w:w="109"/>
        <w:gridCol w:w="109"/>
        <w:gridCol w:w="518"/>
        <w:gridCol w:w="1554"/>
        <w:gridCol w:w="271"/>
        <w:gridCol w:w="109"/>
        <w:gridCol w:w="109"/>
        <w:gridCol w:w="109"/>
        <w:gridCol w:w="211"/>
        <w:gridCol w:w="466"/>
        <w:gridCol w:w="109"/>
        <w:gridCol w:w="109"/>
        <w:gridCol w:w="109"/>
        <w:gridCol w:w="109"/>
        <w:gridCol w:w="211"/>
        <w:gridCol w:w="616"/>
        <w:gridCol w:w="159"/>
      </w:tblGrid>
      <w:tr>
        <w:trPr/>
        <w:tc>
          <w:tcPr>
            <w:tcW w:w="663"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center"/>
          </w:tcPr>
          <w:p>
            <w:pPr>
              <w:pStyle w:val="TableContents"/>
              <w:spacing w:before="0" w:after="283"/>
              <w:rPr>
                <w:sz w:val="4"/>
                <w:szCs w:val="4"/>
              </w:rPr>
            </w:pPr>
            <w:r>
              <w:rPr>
                <w:sz w:val="4"/>
                <w:szCs w:val="4"/>
              </w:rPr>
            </w:r>
          </w:p>
        </w:tc>
        <w:tc>
          <w:tcPr>
            <w:tcW w:w="588"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center"/>
          </w:tcPr>
          <w:p>
            <w:pPr>
              <w:pStyle w:val="TableContents"/>
              <w:spacing w:before="0" w:after="283"/>
              <w:rPr>
                <w:sz w:val="4"/>
                <w:szCs w:val="4"/>
              </w:rPr>
            </w:pPr>
            <w:r>
              <w:rPr>
                <w:sz w:val="4"/>
                <w:szCs w:val="4"/>
              </w:rPr>
            </w:r>
          </w:p>
        </w:tc>
        <w:tc>
          <w:tcPr>
            <w:tcW w:w="57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044"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8" w:type="dxa"/>
            <w:tcBorders/>
            <w:shd w:fill="auto" w:val="clear"/>
            <w:vAlign w:val="center"/>
          </w:tcPr>
          <w:p>
            <w:pPr>
              <w:pStyle w:val="TableContents"/>
              <w:spacing w:before="0" w:after="283"/>
              <w:rPr>
                <w:sz w:val="4"/>
                <w:szCs w:val="4"/>
              </w:rPr>
            </w:pPr>
            <w:r>
              <w:rPr>
                <w:sz w:val="4"/>
                <w:szCs w:val="4"/>
              </w:rPr>
            </w:r>
          </w:p>
        </w:tc>
        <w:tc>
          <w:tcPr>
            <w:tcW w:w="1554"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18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70"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183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97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Severance</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97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Termination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34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Asset Write-Downs (Gains)</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78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Other</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98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1835" w:type="dxa"/>
            <w:gridSpan w:val="3"/>
            <w:tcBorders/>
            <w:shd w:fill="auto" w:val="clear"/>
            <w:vAlign w:val="center"/>
          </w:tcPr>
          <w:p>
            <w:pPr>
              <w:pStyle w:val="TableContents"/>
              <w:spacing w:before="0" w:after="283"/>
              <w:rPr>
                <w:sz w:val="4"/>
                <w:szCs w:val="4"/>
              </w:rPr>
            </w:pPr>
            <w:r>
              <w:rPr>
                <w:sz w:val="4"/>
                <w:szCs w:val="4"/>
              </w:rPr>
            </w:r>
          </w:p>
        </w:tc>
        <w:tc>
          <w:tcPr>
            <w:tcW w:w="9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7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86" w:type="dxa"/>
            <w:gridSpan w:val="3"/>
            <w:tcBorders/>
            <w:shd w:fill="auto" w:val="clear"/>
            <w:vAlign w:val="center"/>
          </w:tcPr>
          <w:p>
            <w:pPr>
              <w:pStyle w:val="TableContents"/>
              <w:spacing w:before="0" w:after="283"/>
              <w:rPr>
                <w:sz w:val="4"/>
                <w:szCs w:val="4"/>
              </w:rPr>
            </w:pPr>
            <w:r>
              <w:rPr>
                <w:sz w:val="4"/>
                <w:szCs w:val="4"/>
              </w:rPr>
            </w:r>
          </w:p>
        </w:tc>
      </w:tr>
      <w:tr>
        <w:trPr/>
        <w:tc>
          <w:tcPr>
            <w:tcW w:w="183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6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186 </w:t>
            </w:r>
          </w:p>
        </w:tc>
        <w:tc>
          <w:tcPr>
            <w:tcW w:w="13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4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31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5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(1,303)</w:t>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6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(946)</w:t>
            </w:r>
          </w:p>
        </w:tc>
        <w:tc>
          <w:tcPr>
            <w:tcW w:w="15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3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4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5 </w:t>
            </w:r>
          </w:p>
        </w:tc>
        <w:tc>
          <w:tcPr>
            <w:tcW w:w="13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1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8,900 </w:t>
            </w:r>
          </w:p>
        </w:tc>
        <w:tc>
          <w:tcPr>
            <w:tcW w:w="2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15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35" w:type="dxa"/>
            <w:gridSpan w:val="3"/>
            <w:tcBorders/>
            <w:shd w:fill="auto" w:val="clear"/>
            <w:vAlign w:val="center"/>
          </w:tcPr>
          <w:p>
            <w:pPr>
              <w:pStyle w:val="TableContents"/>
              <w:spacing w:before="0" w:after="283"/>
              <w:rPr>
                <w:sz w:val="4"/>
                <w:szCs w:val="4"/>
              </w:rPr>
            </w:pPr>
            <w:r>
              <w:rPr>
                <w:sz w:val="4"/>
                <w:szCs w:val="4"/>
              </w:rPr>
            </w:r>
          </w:p>
        </w:tc>
        <w:tc>
          <w:tcPr>
            <w:tcW w:w="9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7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86" w:type="dxa"/>
            <w:gridSpan w:val="3"/>
            <w:tcBorders/>
            <w:shd w:fill="auto" w:val="clear"/>
            <w:vAlign w:val="center"/>
          </w:tcPr>
          <w:p>
            <w:pPr>
              <w:pStyle w:val="TableContents"/>
              <w:spacing w:before="0" w:after="283"/>
              <w:rPr>
                <w:sz w:val="4"/>
                <w:szCs w:val="4"/>
              </w:rPr>
            </w:pPr>
            <w:r>
              <w:rPr>
                <w:sz w:val="4"/>
                <w:szCs w:val="4"/>
              </w:rPr>
            </w:r>
          </w:p>
        </w:tc>
      </w:tr>
      <w:tr>
        <w:trPr/>
        <w:tc>
          <w:tcPr>
            <w:tcW w:w="183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w:t>
            </w:r>
          </w:p>
        </w:tc>
        <w:tc>
          <w:tcPr>
            <w:tcW w:w="26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191 </w:t>
            </w:r>
          </w:p>
        </w:tc>
        <w:tc>
          <w:tcPr>
            <w:tcW w:w="13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4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31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7,597 </w:t>
            </w:r>
          </w:p>
        </w:tc>
        <w:tc>
          <w:tcPr>
            <w:tcW w:w="27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6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7,959 </w:t>
            </w:r>
          </w:p>
        </w:tc>
        <w:tc>
          <w:tcPr>
            <w:tcW w:w="15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tbl>
      <w:tblPr>
        <w:tblW w:w="9975" w:type="dxa"/>
        <w:jc w:val="left"/>
        <w:tblInd w:w="0" w:type="dxa"/>
        <w:tblCellMar>
          <w:top w:w="28" w:type="dxa"/>
          <w:left w:w="28" w:type="dxa"/>
          <w:bottom w:w="28" w:type="dxa"/>
          <w:right w:w="28" w:type="dxa"/>
        </w:tblCellMar>
      </w:tblPr>
      <w:tblGrid>
        <w:gridCol w:w="667"/>
        <w:gridCol w:w="587"/>
        <w:gridCol w:w="591"/>
        <w:gridCol w:w="283"/>
        <w:gridCol w:w="545"/>
        <w:gridCol w:w="148"/>
        <w:gridCol w:w="109"/>
        <w:gridCol w:w="109"/>
        <w:gridCol w:w="109"/>
        <w:gridCol w:w="574"/>
        <w:gridCol w:w="1107"/>
        <w:gridCol w:w="298"/>
        <w:gridCol w:w="109"/>
        <w:gridCol w:w="109"/>
        <w:gridCol w:w="109"/>
        <w:gridCol w:w="631"/>
        <w:gridCol w:w="1395"/>
        <w:gridCol w:w="329"/>
        <w:gridCol w:w="109"/>
        <w:gridCol w:w="109"/>
        <w:gridCol w:w="109"/>
        <w:gridCol w:w="211"/>
        <w:gridCol w:w="361"/>
        <w:gridCol w:w="109"/>
        <w:gridCol w:w="109"/>
        <w:gridCol w:w="109"/>
        <w:gridCol w:w="109"/>
        <w:gridCol w:w="211"/>
        <w:gridCol w:w="466"/>
        <w:gridCol w:w="154"/>
      </w:tblGrid>
      <w:tr>
        <w:trPr/>
        <w:tc>
          <w:tcPr>
            <w:tcW w:w="667" w:type="dxa"/>
            <w:tcBorders/>
            <w:shd w:fill="auto" w:val="clear"/>
            <w:vAlign w:val="center"/>
          </w:tcPr>
          <w:p>
            <w:pPr>
              <w:pStyle w:val="TableContents"/>
              <w:spacing w:before="0" w:after="283"/>
              <w:rPr>
                <w:sz w:val="4"/>
                <w:szCs w:val="4"/>
              </w:rPr>
            </w:pPr>
            <w:r>
              <w:rPr>
                <w:sz w:val="4"/>
                <w:szCs w:val="4"/>
              </w:rPr>
            </w:r>
          </w:p>
        </w:tc>
        <w:tc>
          <w:tcPr>
            <w:tcW w:w="587" w:type="dxa"/>
            <w:tcBorders/>
            <w:shd w:fill="auto" w:val="clear"/>
            <w:vAlign w:val="center"/>
          </w:tcPr>
          <w:p>
            <w:pPr>
              <w:pStyle w:val="TableContents"/>
              <w:spacing w:before="0" w:after="283"/>
              <w:rPr>
                <w:sz w:val="4"/>
                <w:szCs w:val="4"/>
              </w:rPr>
            </w:pPr>
            <w:r>
              <w:rPr>
                <w:sz w:val="4"/>
                <w:szCs w:val="4"/>
              </w:rPr>
            </w:r>
          </w:p>
        </w:tc>
        <w:tc>
          <w:tcPr>
            <w:tcW w:w="591"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74" w:type="dxa"/>
            <w:tcBorders/>
            <w:shd w:fill="auto" w:val="clear"/>
            <w:vAlign w:val="center"/>
          </w:tcPr>
          <w:p>
            <w:pPr>
              <w:pStyle w:val="TableContents"/>
              <w:spacing w:before="0" w:after="283"/>
              <w:rPr>
                <w:sz w:val="4"/>
                <w:szCs w:val="4"/>
              </w:rPr>
            </w:pPr>
            <w:r>
              <w:rPr>
                <w:sz w:val="4"/>
                <w:szCs w:val="4"/>
              </w:rPr>
            </w:r>
          </w:p>
        </w:tc>
        <w:tc>
          <w:tcPr>
            <w:tcW w:w="110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395"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84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30"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r>
      <w:tr>
        <w:trPr/>
        <w:tc>
          <w:tcPr>
            <w:tcW w:w="184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97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Severance</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97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Termination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35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Asset Write-Downs (Gains)</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Other</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83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184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8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4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0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9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3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39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240 </w:t>
            </w:r>
          </w:p>
        </w:tc>
        <w:tc>
          <w:tcPr>
            <w:tcW w:w="32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6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276 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4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2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8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9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2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2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45" w:type="dxa"/>
            <w:gridSpan w:val="3"/>
            <w:tcBorders/>
            <w:shd w:fill="auto" w:val="clear"/>
            <w:vAlign w:val="center"/>
          </w:tcPr>
          <w:p>
            <w:pPr>
              <w:pStyle w:val="TableContents"/>
              <w:spacing w:before="0" w:after="283"/>
              <w:rPr>
                <w:sz w:val="4"/>
                <w:szCs w:val="4"/>
              </w:rPr>
            </w:pPr>
            <w:r>
              <w:rPr>
                <w:sz w:val="4"/>
                <w:szCs w:val="4"/>
              </w:rPr>
            </w:r>
          </w:p>
        </w:tc>
        <w:tc>
          <w:tcPr>
            <w:tcW w:w="9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7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5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31" w:type="dxa"/>
            <w:gridSpan w:val="3"/>
            <w:tcBorders/>
            <w:shd w:fill="auto" w:val="clear"/>
            <w:vAlign w:val="center"/>
          </w:tcPr>
          <w:p>
            <w:pPr>
              <w:pStyle w:val="TableContents"/>
              <w:spacing w:before="0" w:after="283"/>
              <w:rPr>
                <w:sz w:val="4"/>
                <w:szCs w:val="4"/>
              </w:rPr>
            </w:pPr>
            <w:r>
              <w:rPr>
                <w:sz w:val="4"/>
                <w:szCs w:val="4"/>
              </w:rPr>
            </w:r>
          </w:p>
        </w:tc>
      </w:tr>
      <w:tr>
        <w:trPr/>
        <w:tc>
          <w:tcPr>
            <w:tcW w:w="184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w:t>
            </w:r>
          </w:p>
        </w:tc>
        <w:tc>
          <w:tcPr>
            <w:tcW w:w="28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4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4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0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29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3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39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240 </w:t>
            </w:r>
          </w:p>
        </w:tc>
        <w:tc>
          <w:tcPr>
            <w:tcW w:w="32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6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276 </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120" w:after="283"/>
        <w:jc w:val="both"/>
        <w:rPr/>
      </w:pPr>
      <w:r>
        <w:rPr/>
      </w:r>
    </w:p>
    <w:p>
      <w:pPr>
        <w:pStyle w:val="TextBody"/>
        <w:spacing w:before="120" w:after="283"/>
        <w:jc w:val="both"/>
        <w:rPr/>
      </w:pPr>
      <w:r>
        <w:rPr/>
      </w:r>
    </w:p>
    <w:p>
      <w:pPr>
        <w:pStyle w:val="TextBody"/>
        <w:spacing w:lineRule="auto" w:line="288" w:before="240" w:after="100"/>
        <w:ind w:left="0" w:right="0" w:firstLine="360"/>
        <w:rPr>
          <w:rFonts w:ascii="Times New Roman;sans-serif" w:hAnsi="Times New Roman;sans-serif"/>
          <w:b w:val="false"/>
          <w:color w:val="000000"/>
          <w:sz w:val="20"/>
        </w:rPr>
      </w:pPr>
      <w:r>
        <w:rPr>
          <w:rFonts w:ascii="Times New Roman;sans-serif" w:hAnsi="Times New Roman;sans-serif"/>
          <w:b w:val="false"/>
          <w:color w:val="000000"/>
          <w:sz w:val="20"/>
        </w:rPr>
        <w:t>The following is a summary of total inception to date restructuring charges, net of adjustments, related to our 2023 Realignment Programs:</w:t>
      </w:r>
    </w:p>
    <w:p>
      <w:pPr>
        <w:pStyle w:val="HorizontalLine"/>
        <w:rPr/>
      </w:pPr>
      <w:r>
        <w:rPr/>
      </w:r>
      <w:r>
        <mc:AlternateContent>
          <mc:Choice Requires="wps">
            <w:drawing>
              <wp:anchor behindDoc="0" distT="0" distB="0" distL="0" distR="0" simplePos="0" locked="0" layoutInCell="1" allowOverlap="1" relativeHeight="25">
                <wp:simplePos x="0" y="0"/>
                <wp:positionH relativeFrom="character">
                  <wp:align>left</wp:align>
                </wp:positionH>
                <wp:positionV relativeFrom="line">
                  <wp:posOffset>635</wp:posOffset>
                </wp:positionV>
                <wp:extent cx="6480175" cy="351155"/>
                <wp:effectExtent l="0" t="0" r="0" b="0"/>
                <wp:wrapNone/>
                <wp:docPr id="24" name="Frame2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18</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tbl>
      <w:tblPr>
        <w:tblW w:w="10205" w:type="dxa"/>
        <w:jc w:val="left"/>
        <w:tblInd w:w="0" w:type="dxa"/>
        <w:tblCellMar>
          <w:top w:w="28" w:type="dxa"/>
          <w:left w:w="28" w:type="dxa"/>
          <w:bottom w:w="28" w:type="dxa"/>
          <w:right w:w="28" w:type="dxa"/>
        </w:tblCellMar>
      </w:tblPr>
      <w:tblGrid>
        <w:gridCol w:w="663"/>
        <w:gridCol w:w="584"/>
        <w:gridCol w:w="588"/>
        <w:gridCol w:w="262"/>
        <w:gridCol w:w="578"/>
        <w:gridCol w:w="136"/>
        <w:gridCol w:w="109"/>
        <w:gridCol w:w="109"/>
        <w:gridCol w:w="109"/>
        <w:gridCol w:w="610"/>
        <w:gridCol w:w="1044"/>
        <w:gridCol w:w="317"/>
        <w:gridCol w:w="109"/>
        <w:gridCol w:w="109"/>
        <w:gridCol w:w="109"/>
        <w:gridCol w:w="518"/>
        <w:gridCol w:w="1554"/>
        <w:gridCol w:w="271"/>
        <w:gridCol w:w="109"/>
        <w:gridCol w:w="109"/>
        <w:gridCol w:w="109"/>
        <w:gridCol w:w="211"/>
        <w:gridCol w:w="466"/>
        <w:gridCol w:w="109"/>
        <w:gridCol w:w="109"/>
        <w:gridCol w:w="109"/>
        <w:gridCol w:w="109"/>
        <w:gridCol w:w="211"/>
        <w:gridCol w:w="616"/>
        <w:gridCol w:w="159"/>
      </w:tblGrid>
      <w:tr>
        <w:trPr/>
        <w:tc>
          <w:tcPr>
            <w:tcW w:w="663"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center"/>
          </w:tcPr>
          <w:p>
            <w:pPr>
              <w:pStyle w:val="TableContents"/>
              <w:spacing w:before="0" w:after="283"/>
              <w:rPr>
                <w:sz w:val="4"/>
                <w:szCs w:val="4"/>
              </w:rPr>
            </w:pPr>
            <w:r>
              <w:rPr>
                <w:sz w:val="4"/>
                <w:szCs w:val="4"/>
              </w:rPr>
            </w:r>
          </w:p>
        </w:tc>
        <w:tc>
          <w:tcPr>
            <w:tcW w:w="588"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center"/>
          </w:tcPr>
          <w:p>
            <w:pPr>
              <w:pStyle w:val="TableContents"/>
              <w:spacing w:before="0" w:after="283"/>
              <w:rPr>
                <w:sz w:val="4"/>
                <w:szCs w:val="4"/>
              </w:rPr>
            </w:pPr>
            <w:r>
              <w:rPr>
                <w:sz w:val="4"/>
                <w:szCs w:val="4"/>
              </w:rPr>
            </w:r>
          </w:p>
        </w:tc>
        <w:tc>
          <w:tcPr>
            <w:tcW w:w="578"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044"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8" w:type="dxa"/>
            <w:tcBorders/>
            <w:shd w:fill="auto" w:val="clear"/>
            <w:vAlign w:val="center"/>
          </w:tcPr>
          <w:p>
            <w:pPr>
              <w:pStyle w:val="TableContents"/>
              <w:spacing w:before="0" w:after="283"/>
              <w:rPr>
                <w:sz w:val="4"/>
                <w:szCs w:val="4"/>
              </w:rPr>
            </w:pPr>
            <w:r>
              <w:rPr>
                <w:sz w:val="4"/>
                <w:szCs w:val="4"/>
              </w:rPr>
            </w:r>
          </w:p>
        </w:tc>
        <w:tc>
          <w:tcPr>
            <w:tcW w:w="1554"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18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70"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Inception to Date</w:t>
            </w:r>
          </w:p>
        </w:tc>
      </w:tr>
      <w:tr>
        <w:trPr/>
        <w:tc>
          <w:tcPr>
            <w:tcW w:w="183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16"/>
              </w:rPr>
              <w:t>(Amounts in thousands)</w:t>
            </w:r>
          </w:p>
        </w:tc>
        <w:tc>
          <w:tcPr>
            <w:tcW w:w="97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Severance</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7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Contract Termination</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34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Asset Write-Downs (Gains)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8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Other</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8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183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COS</w:t>
            </w:r>
          </w:p>
        </w:tc>
        <w:tc>
          <w:tcPr>
            <w:tcW w:w="26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186 </w:t>
            </w:r>
          </w:p>
        </w:tc>
        <w:tc>
          <w:tcPr>
            <w:tcW w:w="13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4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31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5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(1,303)</w:t>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6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(946)</w:t>
            </w:r>
          </w:p>
        </w:tc>
        <w:tc>
          <w:tcPr>
            <w:tcW w:w="15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3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84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5 </w:t>
            </w:r>
          </w:p>
        </w:tc>
        <w:tc>
          <w:tcPr>
            <w:tcW w:w="13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1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8,900 </w:t>
            </w:r>
          </w:p>
        </w:tc>
        <w:tc>
          <w:tcPr>
            <w:tcW w:w="2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8,905 </w:t>
            </w:r>
          </w:p>
        </w:tc>
        <w:tc>
          <w:tcPr>
            <w:tcW w:w="15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35" w:type="dxa"/>
            <w:gridSpan w:val="3"/>
            <w:tcBorders/>
            <w:shd w:fill="auto" w:val="clear"/>
            <w:vAlign w:val="center"/>
          </w:tcPr>
          <w:p>
            <w:pPr>
              <w:pStyle w:val="TableContents"/>
              <w:spacing w:before="0" w:after="283"/>
              <w:rPr>
                <w:sz w:val="4"/>
                <w:szCs w:val="4"/>
              </w:rPr>
            </w:pPr>
            <w:r>
              <w:rPr>
                <w:sz w:val="4"/>
                <w:szCs w:val="4"/>
              </w:rPr>
            </w:r>
          </w:p>
        </w:tc>
        <w:tc>
          <w:tcPr>
            <w:tcW w:w="9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7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86" w:type="dxa"/>
            <w:gridSpan w:val="3"/>
            <w:tcBorders/>
            <w:shd w:fill="auto" w:val="clear"/>
            <w:vAlign w:val="center"/>
          </w:tcPr>
          <w:p>
            <w:pPr>
              <w:pStyle w:val="TableContents"/>
              <w:spacing w:before="0" w:after="283"/>
              <w:rPr>
                <w:sz w:val="4"/>
                <w:szCs w:val="4"/>
              </w:rPr>
            </w:pPr>
            <w:r>
              <w:rPr>
                <w:sz w:val="4"/>
                <w:szCs w:val="4"/>
              </w:rPr>
            </w:r>
          </w:p>
        </w:tc>
      </w:tr>
      <w:tr>
        <w:trPr/>
        <w:tc>
          <w:tcPr>
            <w:tcW w:w="183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w:t>
            </w:r>
          </w:p>
        </w:tc>
        <w:tc>
          <w:tcPr>
            <w:tcW w:w="26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7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191 </w:t>
            </w:r>
          </w:p>
        </w:tc>
        <w:tc>
          <w:tcPr>
            <w:tcW w:w="13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4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31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5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7,597 </w:t>
            </w:r>
          </w:p>
        </w:tc>
        <w:tc>
          <w:tcPr>
            <w:tcW w:w="27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6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7,959 </w:t>
            </w:r>
          </w:p>
        </w:tc>
        <w:tc>
          <w:tcPr>
            <w:tcW w:w="15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represents the activity, primarily severance charges from reductions in force, related to the restructuring reserves for the three months ended March 31, 2023 and 2022:</w:t>
      </w:r>
    </w:p>
    <w:tbl>
      <w:tblPr>
        <w:tblW w:w="6248" w:type="dxa"/>
        <w:jc w:val="left"/>
        <w:tblInd w:w="0" w:type="dxa"/>
        <w:tblCellMar>
          <w:top w:w="28" w:type="dxa"/>
          <w:left w:w="28" w:type="dxa"/>
          <w:bottom w:w="28" w:type="dxa"/>
          <w:right w:w="28" w:type="dxa"/>
        </w:tblCellMar>
      </w:tblPr>
      <w:tblGrid>
        <w:gridCol w:w="1451"/>
        <w:gridCol w:w="1274"/>
        <w:gridCol w:w="1279"/>
        <w:gridCol w:w="211"/>
        <w:gridCol w:w="616"/>
        <w:gridCol w:w="109"/>
        <w:gridCol w:w="109"/>
        <w:gridCol w:w="109"/>
        <w:gridCol w:w="109"/>
        <w:gridCol w:w="211"/>
        <w:gridCol w:w="616"/>
        <w:gridCol w:w="154"/>
      </w:tblGrid>
      <w:tr>
        <w:trPr/>
        <w:tc>
          <w:tcPr>
            <w:tcW w:w="1451" w:type="dxa"/>
            <w:tcBorders/>
            <w:shd w:fill="auto" w:val="clear"/>
            <w:vAlign w:val="center"/>
          </w:tcPr>
          <w:p>
            <w:pPr>
              <w:pStyle w:val="TableContents"/>
              <w:spacing w:before="0" w:after="283"/>
              <w:rPr>
                <w:sz w:val="4"/>
                <w:szCs w:val="4"/>
              </w:rPr>
            </w:pPr>
            <w:r>
              <w:rPr>
                <w:sz w:val="4"/>
                <w:szCs w:val="4"/>
              </w:rPr>
            </w:r>
          </w:p>
        </w:tc>
        <w:tc>
          <w:tcPr>
            <w:tcW w:w="1274" w:type="dxa"/>
            <w:tcBorders/>
            <w:shd w:fill="auto" w:val="clear"/>
            <w:vAlign w:val="center"/>
          </w:tcPr>
          <w:p>
            <w:pPr>
              <w:pStyle w:val="TableContents"/>
              <w:spacing w:before="0" w:after="283"/>
              <w:rPr>
                <w:sz w:val="4"/>
                <w:szCs w:val="4"/>
              </w:rPr>
            </w:pPr>
            <w:r>
              <w:rPr>
                <w:sz w:val="4"/>
                <w:szCs w:val="4"/>
              </w:rPr>
            </w:r>
          </w:p>
        </w:tc>
        <w:tc>
          <w:tcPr>
            <w:tcW w:w="127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0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(Amounts in thousands)</w:t>
            </w:r>
          </w:p>
        </w:tc>
        <w:tc>
          <w:tcPr>
            <w:tcW w:w="93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8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4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Balance at January 1</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965 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4,868 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Charges, net of adjustments</w:t>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Cash expenditures</w:t>
            </w:r>
          </w:p>
        </w:tc>
        <w:tc>
          <w:tcPr>
            <w:tcW w:w="82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(1,260)</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non-cash adjustments, including currency</w:t>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Balance at March 31</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1,038 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3,581 </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00" w:after="100"/>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2.Management’s Discussion and Analysis of Financial Condition and Results of Operations.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following discussion and analysis of our financial condition and results of operations should be read in conjunction with our condensed consolidated financial statements and notes thereto, and the other financial data included elsewhere in this Quarterly Report. The following discussion should also be read in conjunction with our audited consolidated financial statements, and notes thereto, and "Management’s Discussion and Analysis of Financial Condition and Results of Operations" ("MD&amp;A") included in our 2022 Annual Report.</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jc w:val="both"/>
        <w:rPr>
          <w:rFonts w:ascii="Times New Roman;sans-serif" w:hAnsi="Times New Roman;sans-serif"/>
          <w:b/>
          <w:color w:val="000000"/>
          <w:sz w:val="20"/>
        </w:rPr>
      </w:pPr>
      <w:r>
        <w:rPr>
          <w:rFonts w:ascii="Times New Roman;sans-serif" w:hAnsi="Times New Roman;sans-serif"/>
          <w:b/>
          <w:color w:val="000000"/>
          <w:sz w:val="20"/>
        </w:rPr>
        <w:t>EXECUTIVE OVERVIEW</w:t>
      </w:r>
    </w:p>
    <w:p>
      <w:pPr>
        <w:pStyle w:val="TextBody"/>
        <w:spacing w:lineRule="auto" w:line="288" w:before="120" w:after="100"/>
        <w:jc w:val="both"/>
        <w:rPr>
          <w:rFonts w:ascii="Times New Roman;sans-serif" w:hAnsi="Times New Roman;sans-serif"/>
          <w:b/>
          <w:i/>
          <w:color w:val="000000"/>
          <w:sz w:val="20"/>
        </w:rPr>
      </w:pPr>
      <w:r>
        <w:rPr>
          <w:rFonts w:ascii="Times New Roman;sans-serif" w:hAnsi="Times New Roman;sans-serif"/>
          <w:b/>
          <w:i/>
          <w:color w:val="000000"/>
          <w:sz w:val="20"/>
        </w:rPr>
        <w:t>Our Company</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We are a world-leading manufacturer and aftermarket service provider of comprehensive flow control systems. 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and water management, as well as general industrial markets where our products and services add value. Through our manufacturing platform and global network of Quick Response Centers ("QRCs"), we offer a broad array of aftermarket equipment services, such as installation, advanced diagnostics, repair and retrofitting. </w:t>
      </w:r>
      <w:r>
        <w:rPr>
          <w:rFonts w:ascii="Times New Roman;sans-serif" w:hAnsi="Times New Roman;sans-serif"/>
          <w:b w:val="false"/>
          <w:color w:val="000000"/>
          <w:sz w:val="20"/>
          <w:highlight w:val="white"/>
        </w:rPr>
        <w:t>We currently employ approxim</w:t>
      </w:r>
      <w:r>
        <w:rPr>
          <w:rFonts w:ascii="Times New Roman;sans-serif" w:hAnsi="Times New Roman;sans-serif"/>
          <w:b w:val="false"/>
          <w:color w:val="000000"/>
          <w:sz w:val="20"/>
        </w:rPr>
        <w:t>ately 16,000 employees i</w:t>
      </w:r>
      <w:r>
        <w:rPr>
          <w:rFonts w:ascii="Times New Roman;sans-serif" w:hAnsi="Times New Roman;sans-serif"/>
          <w:b w:val="false"/>
          <w:color w:val="000000"/>
          <w:sz w:val="20"/>
          <w:highlight w:val="white"/>
        </w:rPr>
        <w:t>n more than 50 countries.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Our business model is significantly influenced by the capital and operating spending of global infrastructure industries for the placement of new products into service and aftermarket services for existing operations. The worldwide installed base of our products is an important source of aftermarket revenue, where products are relied upon to maximize operating time of many key industrial processes. We continue to invest significantly in our aftermarket strategy to provide local support to drive customer investments in our offerings and use of our services to replace or repair installed products. The aftermarket portion of our business also helps provide business stability during various economic periods. The aftermarket service and solutions business, which is primarily served by our network of 159 QRCs located around the globe, provides a variety of service offerings for our customers including spare parts, service solutions, product life cycle solutions and other value-added services. It is generally a higher margin business compared to our original equipment business and a key component of our business strategy.</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Our operations are conducted through two business segments that are referenced throughout this MD&amp;A:</w:t>
      </w:r>
    </w:p>
    <w:p>
      <w:pPr>
        <w:pStyle w:val="TextBody"/>
        <w:spacing w:lineRule="auto" w:line="288" w:before="120" w:after="283"/>
        <w:ind w:left="0" w:right="0" w:hanging="360"/>
        <w:jc w:val="both"/>
        <w:rPr/>
      </w:pPr>
      <w:r>
        <w:rPr>
          <w:color w:val="000000"/>
        </w:rPr>
        <w:t>•</w:t>
      </w:r>
      <w:r>
        <w:rPr>
          <w:rFonts w:ascii="Times New Roman;sans-serif" w:hAnsi="Times New Roman;sans-serif"/>
          <w:b w:val="false"/>
          <w:color w:val="000000"/>
          <w:sz w:val="20"/>
        </w:rPr>
        <w:t>FPD designs and manufactures custom, highly-engineered pumps, pre-configured industrial pumps, pump systems, mechanical seals, auxiliary systems and replacement parts and related services; and</w:t>
      </w:r>
    </w:p>
    <w:p>
      <w:pPr>
        <w:pStyle w:val="TextBody"/>
        <w:spacing w:lineRule="auto" w:line="288" w:before="120" w:after="283"/>
        <w:ind w:left="0" w:right="0" w:hanging="360"/>
        <w:jc w:val="both"/>
        <w:rPr/>
      </w:pPr>
      <w:r>
        <w:rPr>
          <w:color w:val="000000"/>
        </w:rPr>
        <w:t>•</w:t>
      </w:r>
      <w:r>
        <w:rPr>
          <w:rFonts w:ascii="Times New Roman;sans-serif" w:hAnsi="Times New Roman;sans-serif"/>
          <w:b w:val="false"/>
          <w:color w:val="000000"/>
          <w:sz w:val="20"/>
        </w:rPr>
        <w:t>FCD designs, manufactures and distributes a broad portfolio of engineered-to-order and configured-to-order isolation valves, control valves, valve automation products and related equipment.</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Our business segments share a focus on industrial flow control technology and have a number of common customers. These segments also have complementary product offerings and technologies that are often combined in applications that provide us a net competitive advantage. Our segments also benefit from our global footprint and our economies of scale in </w:t>
      </w:r>
    </w:p>
    <w:p>
      <w:pPr>
        <w:pStyle w:val="HorizontalLine"/>
        <w:rPr/>
      </w:pPr>
      <w:r>
        <w:rPr/>
      </w:r>
      <w:r>
        <mc:AlternateContent>
          <mc:Choice Requires="wps">
            <w:drawing>
              <wp:anchor behindDoc="0" distT="0" distB="0" distL="0" distR="0" simplePos="0" locked="0" layoutInCell="1" allowOverlap="1" relativeHeight="26">
                <wp:simplePos x="0" y="0"/>
                <wp:positionH relativeFrom="character">
                  <wp:align>left</wp:align>
                </wp:positionH>
                <wp:positionV relativeFrom="line">
                  <wp:posOffset>635</wp:posOffset>
                </wp:positionV>
                <wp:extent cx="6480175" cy="351155"/>
                <wp:effectExtent l="0" t="0" r="0" b="0"/>
                <wp:wrapNone/>
                <wp:docPr id="25" name="Frame2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19</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reducing administrative and overhead costs to serve customers more cost effectively. For example, our segments share leadership for operational support functions, such as sales, research and development, marketing and supply chain.</w:t>
      </w:r>
    </w:p>
    <w:p>
      <w:pPr>
        <w:pStyle w:val="TextBody"/>
        <w:spacing w:lineRule="auto" w:line="288" w:before="120" w:after="283"/>
        <w:ind w:left="0" w:right="0" w:firstLine="360"/>
        <w:jc w:val="both"/>
        <w:rPr/>
      </w:pPr>
      <w:r>
        <w:rPr>
          <w:rFonts w:ascii="Times New Roman;sans-serif" w:hAnsi="Times New Roman;sans-serif"/>
          <w:b w:val="false"/>
          <w:color w:val="000000"/>
          <w:sz w:val="20"/>
        </w:rPr>
        <w:t>The reputation of our product portfolio is built on more than</w:t>
      </w:r>
      <w:r>
        <w:rPr>
          <w:color w:val="000000"/>
          <w:highlight w:val="white"/>
        </w:rPr>
        <w:t xml:space="preserve"> </w:t>
      </w:r>
      <w:r>
        <w:rPr>
          <w:rFonts w:ascii="Times New Roman;sans-serif" w:hAnsi="Times New Roman;sans-serif"/>
          <w:b w:val="false"/>
          <w:color w:val="000000"/>
          <w:sz w:val="20"/>
          <w:highlight w:val="white"/>
        </w:rPr>
        <w:t xml:space="preserve">50 well-respected brand names such as Worthington, IDP, Valtek, Limitorque, Durco, Argus, Edward and Durametallic, which we believe to be one of the most comprehensive in the industry. Our products and services are sold either directly or through designated channels to more than 10,000 </w:t>
      </w:r>
      <w:r>
        <w:rPr>
          <w:rFonts w:ascii="Times New Roman;sans-serif" w:hAnsi="Times New Roman;sans-serif"/>
          <w:b w:val="false"/>
          <w:color w:val="000000"/>
          <w:sz w:val="20"/>
        </w:rPr>
        <w:t>companies, including some of the world’s leading engineering, procurement and construction ("EPC") firms, original equipment manufacturers, distributors and end users.</w:t>
      </w:r>
    </w:p>
    <w:p>
      <w:pPr>
        <w:pStyle w:val="TextBody"/>
        <w:spacing w:lineRule="auto" w:line="288" w:before="120" w:after="283"/>
        <w:ind w:left="0" w:right="0" w:firstLine="360"/>
        <w:jc w:val="both"/>
        <w:rPr/>
      </w:pPr>
      <w:r>
        <w:rPr>
          <w:rFonts w:ascii="Times New Roman;sans-serif" w:hAnsi="Times New Roman;sans-serif"/>
          <w:b w:val="false"/>
          <w:color w:val="000000"/>
          <w:sz w:val="20"/>
        </w:rPr>
        <w:t>We continue to leverage our QRC network to be positioned as near to customers as possible for service and support in order to capture valuable aftermarket business. Along with maintaining the local capability to sell, install and service our equipment in remote regions, it is equally imperative to continuously improve our global operations. Despite supply chain disruption caused by COVID-19, we continue to enhance our global supply chain capabilities to increase our ability to meet global customer demands and improve the quality and timely delivery of our products over the long-term. Additionally, we continue to devote resources to improve the supply chain processes across our business segments and find areas of synergy and cost reduction, all along improving our supply chain management capability to meet global customer demands. We also remain focused on improving on-time delivery and quality, while managing warranty costs as a percentage of sales across our global operations, through the assistance of a focused Continuous Improvement Process ("CIP") initiative.</w:t>
      </w:r>
      <w:r>
        <w:rPr>
          <w:color w:val="000000"/>
        </w:rPr>
        <w:t xml:space="preserve"> </w:t>
      </w:r>
      <w:r>
        <w:rPr>
          <w:rFonts w:ascii="Times New Roman;sans-serif" w:hAnsi="Times New Roman;sans-serif"/>
          <w:b w:val="false"/>
          <w:color w:val="000000"/>
          <w:sz w:val="20"/>
        </w:rPr>
        <w:t xml:space="preserve">The goal of the CIP initiative, which includes lean manufacturing, six sigma business management strategy and value engineering, is to maximize service fulfillment to customers through on-time delivery, reduced cycle time and quality at the highest internal productivity. </w:t>
      </w:r>
    </w:p>
    <w:p>
      <w:pPr>
        <w:pStyle w:val="TextBody"/>
        <w:spacing w:lineRule="auto" w:line="288" w:before="140" w:after="100"/>
        <w:ind w:left="0" w:right="0" w:firstLine="495"/>
        <w:jc w:val="both"/>
        <w:rPr>
          <w:rFonts w:ascii="Times New Roman;sans-serif" w:hAnsi="Times New Roman;sans-serif"/>
          <w:b w:val="false"/>
          <w:color w:val="000000"/>
          <w:sz w:val="20"/>
        </w:rPr>
      </w:pPr>
      <w:r>
        <w:rPr>
          <w:rFonts w:ascii="Times New Roman;sans-serif" w:hAnsi="Times New Roman;sans-serif"/>
          <w:b w:val="false"/>
          <w:color w:val="000000"/>
          <w:sz w:val="20"/>
        </w:rPr>
        <w:t>On February 9, 2023 the Company entered into a definitive agreement under which it will acquire all of the outstanding equity of Velan Inc., a manufacturer of highly engineered industrial valves, in an all cash transaction valued at approximately $245 million. The transaction is subject to customary closing conditions, including applicable regulatory approvals and target shareholder approval, and is currently expected to close in the third quarter of 2023.</w:t>
      </w:r>
    </w:p>
    <w:p>
      <w:pPr>
        <w:pStyle w:val="TextBody"/>
        <w:spacing w:lineRule="auto" w:line="288" w:before="160" w:after="100"/>
        <w:ind w:left="0" w:right="0" w:firstLine="360"/>
        <w:rPr>
          <w:rFonts w:ascii="Times New Roman;sans-serif" w:hAnsi="Times New Roman;sans-serif"/>
          <w:b/>
          <w:i/>
          <w:color w:val="000000"/>
          <w:sz w:val="20"/>
        </w:rPr>
      </w:pPr>
      <w:r>
        <w:rPr>
          <w:rFonts w:ascii="Times New Roman;sans-serif" w:hAnsi="Times New Roman;sans-serif"/>
          <w:b/>
          <w:i/>
          <w:color w:val="000000"/>
          <w:sz w:val="20"/>
        </w:rPr>
        <w:t>COVID-19 and Related Impacts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continue to assess and proactively respond to the impacts of COVID-19 on all aspects of our business and geographies, including with respect to our associates, customers and communities, supply chain impacts and labor availability issues, and to take appropriate actions in an effort to mitigate adverse effects of the pandemic.</w:t>
      </w:r>
    </w:p>
    <w:p>
      <w:pPr>
        <w:pStyle w:val="TextBody"/>
        <w:spacing w:lineRule="auto" w:line="288" w:before="120" w:after="283"/>
        <w:ind w:left="0" w:right="0" w:firstLine="360"/>
        <w:jc w:val="both"/>
        <w:rPr/>
      </w:pPr>
      <w:r>
        <w:rPr>
          <w:rFonts w:ascii="Times New Roman;sans-serif" w:hAnsi="Times New Roman;sans-serif"/>
          <w:b w:val="false"/>
          <w:color w:val="000000"/>
          <w:sz w:val="20"/>
        </w:rPr>
        <w:t>During 2022 we experienced a number of COVID-related headwinds including with respect to temporary closures of our facilities, supply chain and logistics disruptions, and labor availability issues.</w:t>
      </w:r>
      <w:r>
        <w:rPr>
          <w:color w:val="000000"/>
        </w:rPr>
        <w:t xml:space="preserve"> </w:t>
      </w:r>
      <w:r>
        <w:rPr>
          <w:rFonts w:ascii="Times New Roman;sans-serif" w:hAnsi="Times New Roman;sans-serif"/>
          <w:b w:val="false"/>
          <w:color w:val="000000"/>
          <w:sz w:val="20"/>
        </w:rPr>
        <w:t xml:space="preserve">During the first quarter of 2023, these COVID-related impacts subsided when compared to 2022; however, we still expect the combined effects of the supply chain, logistics and labor availability headwinds to continue in 2023.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strong U.S. dollar has made and may continue to make our products more expensive overseas and has made it challenging to meet our international customers’ pricing expectations. We will continue to be proactive in our efforts to stay competitive in our prices and market share. </w:t>
      </w:r>
    </w:p>
    <w:p>
      <w:pPr>
        <w:pStyle w:val="TextBody"/>
        <w:spacing w:lineRule="auto" w:line="288" w:before="14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Throughout COVID-19 we engaged in a number of cost savings measures in order to help mitigate the adverse effects of COVID-19 on our financial results, including certain realignment activities. We will continue to evaluate additional cost savings measures in order to reduce the impact of COVID-19 on our financial results, including the 2023 Realignment Program, </w:t>
      </w:r>
    </w:p>
    <w:p>
      <w:pPr>
        <w:pStyle w:val="HorizontalLine"/>
        <w:rPr/>
      </w:pPr>
      <w:r>
        <w:rPr/>
      </w:r>
      <w:r>
        <mc:AlternateContent>
          <mc:Choice Requires="wps">
            <w:drawing>
              <wp:anchor behindDoc="0" distT="0" distB="0" distL="0" distR="0" simplePos="0" locked="0" layoutInCell="1" allowOverlap="1" relativeHeight="27">
                <wp:simplePos x="0" y="0"/>
                <wp:positionH relativeFrom="character">
                  <wp:align>left</wp:align>
                </wp:positionH>
                <wp:positionV relativeFrom="line">
                  <wp:posOffset>635</wp:posOffset>
                </wp:positionV>
                <wp:extent cx="6480175" cy="351155"/>
                <wp:effectExtent l="0" t="0" r="0" b="0"/>
                <wp:wrapNone/>
                <wp:docPr id="26" name="Frame2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20</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40" w:after="283"/>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and we will continue to adapt our operations to respond to the changing conditions as needed but we expect these actions to reduce as the adverse impacts of COVID-19 continue to decrease in 2023. </w:t>
      </w:r>
    </w:p>
    <w:p>
      <w:pPr>
        <w:pStyle w:val="TextBody"/>
        <w:spacing w:lineRule="auto" w:line="276" w:before="120" w:after="283"/>
        <w:ind w:left="0" w:right="0" w:firstLine="360"/>
        <w:jc w:val="both"/>
        <w:rPr>
          <w:rFonts w:ascii="Times New Roman;sans-serif" w:hAnsi="Times New Roman;sans-serif"/>
          <w:b/>
          <w:i/>
          <w:color w:val="000000"/>
          <w:sz w:val="20"/>
        </w:rPr>
      </w:pPr>
      <w:r>
        <w:rPr>
          <w:rFonts w:ascii="Times New Roman;sans-serif" w:hAnsi="Times New Roman;sans-serif"/>
          <w:b/>
          <w:i/>
          <w:color w:val="000000"/>
          <w:sz w:val="20"/>
        </w:rPr>
        <w:t>Impact of Russia-Ukraine Conflict on our Business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response to the ongoing military conflict in Ukraine, several countries, including the United States, have imposed economic sanctions and export controls on certain industry sectors and parties in Russia. As a result of this conflict, including the aforementioned sanctions and overall instability in the region, in February 2022 we stopped accepting new orders in Russia and temporarily suspended fulfillment of existing orders. In March 2022, we made the decision to permanently cease all Company operations in Russia. We have substantially completed the necessary actions to cease operations of our Russian subsidiary, including taking steps to cancel existing contracts with customers and terminate our approximately 50 Russia-based employees and terminate other related contractual commitments. As a result of the conflict and the resulting macroeconomic impacts we have also experienced supply shortages and inflationary pressures.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 the first quarter of 2022, we recorded a $20.2 million pre-tax charge ($21.0 million after-tax) to reserve the asset positions of our Russian subsidiary (excluding cash) as of March 31, 2022, to record contra-revenue for previously recognized revenue and estimated cancellation fees on open contracts that were previously accounted for under POC and subsequently canceled, to establish a reserve for the estimated cost to exit the operations of our Russian subsidiary and to record a reserve for our estimated financial exposure on contracts that have or anticipated to be canceled. </w:t>
      </w:r>
    </w:p>
    <w:p>
      <w:pPr>
        <w:pStyle w:val="TextBody"/>
        <w:spacing w:lineRule="auto" w:line="288" w:before="100" w:after="283"/>
        <w:ind w:left="0" w:right="0" w:firstLine="360"/>
        <w:rPr>
          <w:rFonts w:ascii="Times New Roman;sans-serif" w:hAnsi="Times New Roman;sans-serif"/>
          <w:b w:val="false"/>
          <w:color w:val="000000"/>
          <w:sz w:val="20"/>
        </w:rPr>
      </w:pPr>
      <w:r>
        <w:rPr>
          <w:rFonts w:ascii="Times New Roman;sans-serif" w:hAnsi="Times New Roman;sans-serif"/>
          <w:b w:val="false"/>
          <w:color w:val="000000"/>
          <w:sz w:val="20"/>
        </w:rPr>
        <w:t>The following table presents the above impacts of the Russia pre-tax charge in the first quarter of 2022:</w:t>
      </w:r>
    </w:p>
    <w:tbl>
      <w:tblPr>
        <w:tblW w:w="10205" w:type="dxa"/>
        <w:jc w:val="left"/>
        <w:tblInd w:w="0" w:type="dxa"/>
        <w:tblCellMar>
          <w:top w:w="28" w:type="dxa"/>
          <w:left w:w="28" w:type="dxa"/>
          <w:bottom w:w="28" w:type="dxa"/>
          <w:right w:w="28" w:type="dxa"/>
        </w:tblCellMar>
      </w:tblPr>
      <w:tblGrid>
        <w:gridCol w:w="1423"/>
        <w:gridCol w:w="1187"/>
        <w:gridCol w:w="1194"/>
        <w:gridCol w:w="109"/>
        <w:gridCol w:w="109"/>
        <w:gridCol w:w="202"/>
        <w:gridCol w:w="202"/>
        <w:gridCol w:w="202"/>
        <w:gridCol w:w="202"/>
        <w:gridCol w:w="392"/>
        <w:gridCol w:w="1467"/>
        <w:gridCol w:w="202"/>
        <w:gridCol w:w="109"/>
        <w:gridCol w:w="109"/>
        <w:gridCol w:w="109"/>
        <w:gridCol w:w="211"/>
        <w:gridCol w:w="678"/>
        <w:gridCol w:w="109"/>
        <w:gridCol w:w="109"/>
        <w:gridCol w:w="109"/>
        <w:gridCol w:w="109"/>
        <w:gridCol w:w="317"/>
        <w:gridCol w:w="1108"/>
        <w:gridCol w:w="237"/>
      </w:tblGrid>
      <w:tr>
        <w:trPr/>
        <w:tc>
          <w:tcPr>
            <w:tcW w:w="1423" w:type="dxa"/>
            <w:tcBorders/>
            <w:shd w:fill="auto" w:val="clear"/>
            <w:vAlign w:val="center"/>
          </w:tcPr>
          <w:p>
            <w:pPr>
              <w:pStyle w:val="TableContents"/>
              <w:spacing w:before="0" w:after="283"/>
              <w:rPr>
                <w:sz w:val="4"/>
                <w:szCs w:val="4"/>
              </w:rPr>
            </w:pPr>
            <w:r>
              <w:rPr>
                <w:sz w:val="4"/>
                <w:szCs w:val="4"/>
              </w:rPr>
            </w:r>
          </w:p>
        </w:tc>
        <w:tc>
          <w:tcPr>
            <w:tcW w:w="1187" w:type="dxa"/>
            <w:tcBorders/>
            <w:shd w:fill="auto" w:val="clear"/>
            <w:vAlign w:val="center"/>
          </w:tcPr>
          <w:p>
            <w:pPr>
              <w:pStyle w:val="TableContents"/>
              <w:spacing w:before="0" w:after="283"/>
              <w:rPr>
                <w:sz w:val="4"/>
                <w:szCs w:val="4"/>
              </w:rPr>
            </w:pPr>
            <w:r>
              <w:rPr>
                <w:sz w:val="4"/>
                <w:szCs w:val="4"/>
              </w:rPr>
            </w:r>
          </w:p>
        </w:tc>
        <w:tc>
          <w:tcPr>
            <w:tcW w:w="119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center"/>
          </w:tcPr>
          <w:p>
            <w:pPr>
              <w:pStyle w:val="TableContents"/>
              <w:spacing w:before="0" w:after="283"/>
              <w:rPr>
                <w:sz w:val="4"/>
                <w:szCs w:val="4"/>
              </w:rPr>
            </w:pPr>
            <w:r>
              <w:rPr>
                <w:sz w:val="4"/>
                <w:szCs w:val="4"/>
              </w:rPr>
            </w:r>
          </w:p>
        </w:tc>
        <w:tc>
          <w:tcPr>
            <w:tcW w:w="1467"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7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108"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r>
      <w:tr>
        <w:trPr/>
        <w:tc>
          <w:tcPr>
            <w:tcW w:w="38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69" w:type="dxa"/>
            <w:gridSpan w:val="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c>
          <w:tcPr>
            <w:tcW w:w="3314" w:type="dxa"/>
            <w:gridSpan w:val="12"/>
            <w:tcBorders/>
            <w:shd w:fill="auto" w:val="clear"/>
          </w:tcPr>
          <w:p>
            <w:pPr>
              <w:pStyle w:val="TableContents"/>
              <w:spacing w:before="0" w:after="283"/>
              <w:rPr>
                <w:sz w:val="4"/>
                <w:szCs w:val="4"/>
              </w:rPr>
            </w:pPr>
            <w:r>
              <w:rPr>
                <w:sz w:val="4"/>
                <w:szCs w:val="4"/>
              </w:rPr>
            </w:r>
          </w:p>
        </w:tc>
      </w:tr>
      <w:tr>
        <w:trPr/>
        <w:tc>
          <w:tcPr>
            <w:tcW w:w="38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thousands)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9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66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38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39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6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(5,429)</w:t>
            </w:r>
          </w:p>
        </w:tc>
        <w:tc>
          <w:tcPr>
            <w:tcW w:w="20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0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(5,431)</w:t>
            </w:r>
          </w:p>
        </w:tc>
        <w:tc>
          <w:tcPr>
            <w:tcW w:w="23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Cost of sales ("COS")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85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3,510 </w:t>
            </w:r>
          </w:p>
        </w:tc>
        <w:tc>
          <w:tcPr>
            <w:tcW w:w="20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8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1,112 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4,622 </w:t>
            </w:r>
          </w:p>
        </w:tc>
        <w:tc>
          <w:tcPr>
            <w:tcW w:w="2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loss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85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(8,939)</w:t>
            </w:r>
          </w:p>
        </w:tc>
        <w:tc>
          <w:tcPr>
            <w:tcW w:w="20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8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(1,114)</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(10,053)</w:t>
            </w:r>
          </w:p>
        </w:tc>
        <w:tc>
          <w:tcPr>
            <w:tcW w:w="23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0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Selling, general and administrative expense ("SG&amp;A")</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85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9,111 </w:t>
            </w:r>
          </w:p>
        </w:tc>
        <w:tc>
          <w:tcPr>
            <w:tcW w:w="20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8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1,082 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10,193 </w:t>
            </w:r>
          </w:p>
        </w:tc>
        <w:tc>
          <w:tcPr>
            <w:tcW w:w="2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loss</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39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46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(18,050)</w:t>
            </w:r>
          </w:p>
        </w:tc>
        <w:tc>
          <w:tcPr>
            <w:tcW w:w="20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7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(2,196)</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0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(20,246)</w:t>
            </w:r>
          </w:p>
        </w:tc>
        <w:tc>
          <w:tcPr>
            <w:tcW w:w="23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addition, we reevaluated our financial exposure as of December 31, 2022 and recorded an incremental $13.6 million pre-tax charge ($9.8 million after-tax) in the fourth quarter of 2022 for additional contract cancellation fees, to reserve our residual financial exposure due to increased Russia sanctions imposed during the latter part of 2022 and our decision to cancel backlog as a result of the additional sanctions. We continue to monitor the situation involving Russia and Ukraine and its impact on the rest of our global business. This includes the macroeconomic impact, including with respect to global supply chain issues and inflationary pressures. To date, these impacts have not been material to our business and we do not currently expect that any incremental impact in future quarters, including any financial impacts caused by our cancellation of customer contracts and ceasing of operations in Russia, will be material to the Company.</w:t>
      </w:r>
    </w:p>
    <w:p>
      <w:pPr>
        <w:pStyle w:val="TextBody"/>
        <w:spacing w:lineRule="auto" w:line="288" w:before="120" w:after="283"/>
        <w:ind w:left="0" w:right="0" w:firstLine="360"/>
        <w:jc w:val="both"/>
        <w:rPr>
          <w:rFonts w:ascii="Times New Roman;sans-serif" w:hAnsi="Times New Roman;sans-serif"/>
          <w:b w:val="false"/>
          <w:i/>
          <w:color w:val="000000"/>
          <w:sz w:val="20"/>
          <w:u w:val="single"/>
        </w:rPr>
      </w:pPr>
      <w:r>
        <w:rPr>
          <w:rFonts w:ascii="Times New Roman;sans-serif" w:hAnsi="Times New Roman;sans-serif"/>
          <w:b w:val="false"/>
          <w:i/>
          <w:color w:val="000000"/>
          <w:sz w:val="20"/>
          <w:u w:val="single"/>
        </w:rPr>
        <w:t xml:space="preserve">2023 Outlook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As the world continues to recover from COVID-19, we have seen an inflection in our served end-markets as commodity prices and mobility levels increase. With our increased backlog and improved market environment we expect to return to growth in 2023, however the combined effects of the supply chain, logistics and labor availability headwinds are expected to continue in 2023. Further, we have not seen and do not expect to see an increase in cancellations from our backlog. We therefore expect to continue to deliver on our backlog during 2023, though with a slightly longer cycle time than originally expected.</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As of March 31, 2023, we have cash and cash equi</w:t>
      </w:r>
      <w:r>
        <w:rPr>
          <w:rFonts w:ascii="Times New Roman;sans-serif" w:hAnsi="Times New Roman;sans-serif"/>
          <w:b w:val="false"/>
          <w:color w:val="000000"/>
          <w:sz w:val="20"/>
        </w:rPr>
        <w:t xml:space="preserve">valents of </w:t>
      </w:r>
      <w:r>
        <w:rPr>
          <w:rFonts w:ascii="Times New Roman;sans-serif" w:hAnsi="Times New Roman;sans-serif"/>
          <w:b w:val="false"/>
          <w:color w:val="000000"/>
          <w:sz w:val="20"/>
          <w:highlight w:val="white"/>
        </w:rPr>
        <w:t>$404.7 million</w:t>
      </w:r>
      <w:r>
        <w:rPr>
          <w:color w:val="000000"/>
        </w:rPr>
        <w:t xml:space="preserve"> </w:t>
      </w:r>
      <w:r>
        <w:rPr>
          <w:rFonts w:ascii="Times New Roman;sans-serif" w:hAnsi="Times New Roman;sans-serif"/>
          <w:b w:val="false"/>
          <w:color w:val="000000"/>
          <w:sz w:val="20"/>
        </w:rPr>
        <w:t xml:space="preserve">and $464.5 million </w:t>
      </w:r>
      <w:r>
        <w:rPr>
          <w:rFonts w:ascii="Times New Roman;sans-serif" w:hAnsi="Times New Roman;sans-serif"/>
          <w:b w:val="false"/>
          <w:color w:val="000000"/>
          <w:sz w:val="20"/>
          <w:highlight w:val="white"/>
        </w:rPr>
        <w:t xml:space="preserve">of borrowings available under our Senior Credit Facility. </w:t>
      </w:r>
      <w:r>
        <w:rPr>
          <w:rFonts w:ascii="Times New Roman;sans-serif" w:hAnsi="Times New Roman;sans-serif"/>
          <w:b w:val="false"/>
          <w:color w:val="000000"/>
          <w:sz w:val="20"/>
        </w:rPr>
        <w:t>In April 2023 the Company borrowed $115.0 million on the Revolving Credit Facility for general corporate purposes and as of May 1, 2023 has $75.0 million outstanding. We do not currently anticipate, nor are we aware of, any significant market conditions or commitments that would change any of our conclusions of the liquidity currently available to us. We expect the liquidity discussed above coupled with the costs savings measures planned and already in place will further enable us to maintain adequate liquidity over the short-term (next 12 months) and long-term (beyond the next 12 months)</w:t>
      </w:r>
      <w:r>
        <w:rPr>
          <w:rFonts w:ascii="Times New Roman;sans-serif" w:hAnsi="Times New Roman;sans-serif"/>
          <w:b w:val="false"/>
          <w:color w:val="000000"/>
          <w:sz w:val="20"/>
          <w:highlight w:val="white"/>
        </w:rPr>
        <w:t>. We wi</w:t>
      </w:r>
      <w:r>
        <w:rPr>
          <w:rFonts w:ascii="Times New Roman;sans-serif" w:hAnsi="Times New Roman;sans-serif"/>
          <w:b w:val="false"/>
          <w:color w:val="000000"/>
          <w:sz w:val="20"/>
        </w:rPr>
        <w:t xml:space="preserve">ll continue to actively monitor the credit markets in order to maintain sufficient liquidity and access to capital. </w:t>
      </w:r>
    </w:p>
    <w:p>
      <w:pPr>
        <w:pStyle w:val="TextBody"/>
        <w:spacing w:before="120" w:after="283"/>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8">
                <wp:simplePos x="0" y="0"/>
                <wp:positionH relativeFrom="character">
                  <wp:align>left</wp:align>
                </wp:positionH>
                <wp:positionV relativeFrom="line">
                  <wp:posOffset>635</wp:posOffset>
                </wp:positionV>
                <wp:extent cx="6480175" cy="351155"/>
                <wp:effectExtent l="0" t="0" r="0" b="0"/>
                <wp:wrapNone/>
                <wp:docPr id="27" name="Frame2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21</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jc w:val="both"/>
        <w:rPr>
          <w:rFonts w:ascii="Times New Roman;sans-serif" w:hAnsi="Times New Roman;sans-serif"/>
          <w:b/>
          <w:color w:val="000000"/>
          <w:sz w:val="20"/>
        </w:rPr>
      </w:pPr>
      <w:r>
        <w:rPr>
          <w:rFonts w:ascii="Times New Roman;sans-serif" w:hAnsi="Times New Roman;sans-serif"/>
          <w:b/>
          <w:color w:val="000000"/>
          <w:sz w:val="20"/>
        </w:rPr>
        <w:t xml:space="preserve">RESULTS OF OPERATIONS — Three months ended March 31, 2023 and 2022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Throughout this discussion of our results of operations, we discuss the impact of fluctuations in foreign currency exchange rates. We have calculated currency effects on operations by translating current year results on a monthly basis at prior year exchange rates for the same periods.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the second quarter of 2020, we identified and initiated certain realignment activities to right-size our organizational operations based on the current business environment, with the overall objective to reduce our workforce costs, including manufacturing optimization through the consolidation of certain facilities ("2020 Realignment Program"). As of December 31, 2022 the 2020 Realignment Program was substantially complete with a minimal amount of residual charges to be incurred prospectively.</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In the first quarter of 2023, we identified and initiated certain realignment activities concurrent with the consolidation of our aftermarket and pump operations into a single operating model. This consolidated operating model is designed to better align our go to market strategy with our product offerings, enable end-to-end lifecycle responsibility and accountability, and to facilitate more efficient operations. Additionally, we committed to an estimated $50 million in cost reduction efforts to begin in 2023. Collectively, the above realignment activities are referred to as the 2023 Realignment Program. The 2023 Realignment Program activities will be identified and implemented in phases throughout 2023. We currently anticipate a total investment in realignment activities that have been evaluated and finalized of approximately $25 million. </w:t>
      </w:r>
      <w:r>
        <w:rPr>
          <w:rFonts w:ascii="Times New Roman;sans-serif" w:hAnsi="Times New Roman;sans-serif"/>
          <w:b w:val="false"/>
          <w:color w:val="000000"/>
          <w:sz w:val="20"/>
          <w:highlight w:val="white"/>
        </w:rPr>
        <w:t xml:space="preserve">Upon completion of the 2023 Realignment Program activities </w:t>
      </w:r>
      <w:r>
        <w:rPr>
          <w:rFonts w:ascii="Times New Roman;sans-serif" w:hAnsi="Times New Roman;sans-serif"/>
          <w:b w:val="false"/>
          <w:color w:val="000000"/>
          <w:sz w:val="20"/>
        </w:rPr>
        <w:t>that have been evaluated and finalized</w:t>
      </w:r>
      <w:r>
        <w:rPr>
          <w:rFonts w:ascii="Times New Roman;sans-serif" w:hAnsi="Times New Roman;sans-serif"/>
          <w:b w:val="false"/>
          <w:color w:val="000000"/>
          <w:sz w:val="20"/>
          <w:highlight w:val="white"/>
        </w:rPr>
        <w:t xml:space="preserve">, we expect full year run-rate savings of approximately </w:t>
      </w:r>
      <w:r>
        <w:rPr>
          <w:rFonts w:ascii="Times New Roman;sans-serif" w:hAnsi="Times New Roman;sans-serif"/>
          <w:b w:val="false"/>
          <w:color w:val="000000"/>
          <w:sz w:val="20"/>
        </w:rPr>
        <w:t xml:space="preserve">$13 </w:t>
      </w:r>
      <w:r>
        <w:rPr>
          <w:rFonts w:ascii="Times New Roman;sans-serif" w:hAnsi="Times New Roman;sans-serif"/>
          <w:b w:val="false"/>
          <w:color w:val="000000"/>
          <w:sz w:val="20"/>
          <w:highlight w:val="white"/>
        </w:rPr>
        <w:t xml:space="preserve">million. Actual savings could vary from expected savings, which represent management's best estimate to date. </w:t>
      </w:r>
      <w:r>
        <w:rPr>
          <w:rFonts w:ascii="Times New Roman;sans-serif" w:hAnsi="Times New Roman;sans-serif"/>
          <w:b w:val="false"/>
          <w:color w:val="000000"/>
          <w:sz w:val="20"/>
        </w:rPr>
        <w:t>There are certain other realignment activities that are currently being evaluated, but have not yet been initiated and therefore are not included in the above anticipated total investment.</w:t>
      </w:r>
    </w:p>
    <w:p>
      <w:pPr>
        <w:pStyle w:val="TextBody"/>
        <w:spacing w:lineRule="auto" w:line="288" w:before="240" w:after="283"/>
        <w:jc w:val="both"/>
        <w:rPr>
          <w:rFonts w:ascii="Times New Roman;sans-serif" w:hAnsi="Times New Roman;sans-serif"/>
          <w:b/>
          <w:color w:val="000000"/>
          <w:sz w:val="20"/>
        </w:rPr>
      </w:pPr>
      <w:r>
        <w:rPr>
          <w:rFonts w:ascii="Times New Roman;sans-serif" w:hAnsi="Times New Roman;sans-serif"/>
          <w:b/>
          <w:color w:val="000000"/>
          <w:sz w:val="20"/>
        </w:rPr>
        <w:t>Realignment Activity</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following tables present out realignment activity by segment related to our Realignment Programs: </w:t>
      </w:r>
    </w:p>
    <w:p>
      <w:pPr>
        <w:pStyle w:val="TextBody"/>
        <w:spacing w:before="0" w:after="0"/>
        <w:jc w:val="both"/>
        <w:rPr/>
      </w:pPr>
      <w:r>
        <w:rPr/>
      </w:r>
    </w:p>
    <w:tbl>
      <w:tblPr>
        <w:tblW w:w="10205" w:type="dxa"/>
        <w:jc w:val="left"/>
        <w:tblInd w:w="0" w:type="dxa"/>
        <w:tblCellMar>
          <w:top w:w="28" w:type="dxa"/>
          <w:left w:w="28" w:type="dxa"/>
          <w:bottom w:w="28" w:type="dxa"/>
          <w:right w:w="28" w:type="dxa"/>
        </w:tblCellMar>
      </w:tblPr>
      <w:tblGrid>
        <w:gridCol w:w="743"/>
        <w:gridCol w:w="542"/>
        <w:gridCol w:w="545"/>
        <w:gridCol w:w="211"/>
        <w:gridCol w:w="616"/>
        <w:gridCol w:w="109"/>
        <w:gridCol w:w="109"/>
        <w:gridCol w:w="109"/>
        <w:gridCol w:w="109"/>
        <w:gridCol w:w="211"/>
        <w:gridCol w:w="616"/>
        <w:gridCol w:w="109"/>
        <w:gridCol w:w="109"/>
        <w:gridCol w:w="109"/>
        <w:gridCol w:w="109"/>
        <w:gridCol w:w="380"/>
        <w:gridCol w:w="1298"/>
        <w:gridCol w:w="198"/>
        <w:gridCol w:w="109"/>
        <w:gridCol w:w="109"/>
        <w:gridCol w:w="109"/>
        <w:gridCol w:w="404"/>
        <w:gridCol w:w="1185"/>
        <w:gridCol w:w="211"/>
        <w:gridCol w:w="109"/>
        <w:gridCol w:w="109"/>
        <w:gridCol w:w="109"/>
        <w:gridCol w:w="294"/>
        <w:gridCol w:w="1006"/>
        <w:gridCol w:w="219"/>
      </w:tblGrid>
      <w:tr>
        <w:trPr/>
        <w:tc>
          <w:tcPr>
            <w:tcW w:w="743"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1298"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1006"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375"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2023</w:t>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tcPr>
          <w:p>
            <w:pPr>
              <w:pStyle w:val="TableContents"/>
              <w:spacing w:before="0" w:after="283"/>
              <w:rPr>
                <w:sz w:val="4"/>
                <w:szCs w:val="4"/>
              </w:rPr>
            </w:pPr>
            <w:r>
              <w:rPr>
                <w:sz w:val="4"/>
                <w:szCs w:val="4"/>
              </w:rPr>
            </w:r>
          </w:p>
        </w:tc>
      </w:tr>
      <w:tr>
        <w:trPr/>
        <w:tc>
          <w:tcPr>
            <w:tcW w:w="183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thousands)</w:t>
            </w:r>
          </w:p>
        </w:tc>
        <w:tc>
          <w:tcPr>
            <w:tcW w:w="93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87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80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Eliminations and All Other</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183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 Realignment Charges</w:t>
            </w:r>
          </w:p>
        </w:tc>
        <w:tc>
          <w:tcPr>
            <w:tcW w:w="93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7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0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8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COS</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0"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9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401 </w:t>
            </w:r>
          </w:p>
        </w:tc>
        <w:tc>
          <w:tcPr>
            <w:tcW w:w="19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85"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(199)</w:t>
            </w:r>
          </w:p>
        </w:tc>
        <w:tc>
          <w:tcPr>
            <w:tcW w:w="21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0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202 </w:t>
            </w:r>
          </w:p>
        </w:tc>
        <w:tc>
          <w:tcPr>
            <w:tcW w:w="21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3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SG&amp;A</w:t>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2,050 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8,906 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7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10,956 </w:t>
            </w:r>
          </w:p>
        </w:tc>
        <w:tc>
          <w:tcPr>
            <w:tcW w:w="19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8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5,721 </w:t>
            </w:r>
          </w:p>
        </w:tc>
        <w:tc>
          <w:tcPr>
            <w:tcW w:w="21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16,677 </w:t>
            </w:r>
          </w:p>
        </w:tc>
        <w:tc>
          <w:tcPr>
            <w:tcW w:w="21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2,440 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8,917 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9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11,357 </w:t>
            </w:r>
          </w:p>
        </w:tc>
        <w:tc>
          <w:tcPr>
            <w:tcW w:w="19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0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8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5,522 </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0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16,879 </w:t>
            </w:r>
          </w:p>
        </w:tc>
        <w:tc>
          <w:tcPr>
            <w:tcW w:w="21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7439" w:type="dxa"/>
            <w:gridSpan w:val="24"/>
            <w:tcBorders/>
            <w:shd w:fill="auto" w:val="clea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r>
        <w:trPr/>
        <w:tc>
          <w:tcPr>
            <w:tcW w:w="1830"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7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19" w:type="dxa"/>
            <w:gridSpan w:val="3"/>
            <w:tcBorders/>
            <w:shd w:fill="auto" w:val="clear"/>
            <w:vAlign w:val="center"/>
          </w:tcPr>
          <w:p>
            <w:pPr>
              <w:pStyle w:val="TableContents"/>
              <w:spacing w:before="0" w:after="283"/>
              <w:rPr>
                <w:sz w:val="4"/>
                <w:szCs w:val="4"/>
              </w:rPr>
            </w:pPr>
            <w:r>
              <w:rPr>
                <w:sz w:val="4"/>
                <w:szCs w:val="4"/>
              </w:rPr>
            </w:r>
          </w:p>
        </w:tc>
      </w:tr>
    </w:tbl>
    <w:p>
      <w:pPr>
        <w:pStyle w:val="TextBody"/>
        <w:spacing w:before="0" w:after="0"/>
        <w:jc w:val="both"/>
        <w:rPr/>
      </w:pPr>
      <w:r>
        <w:rPr/>
      </w:r>
    </w:p>
    <w:tbl>
      <w:tblPr>
        <w:tblW w:w="10205" w:type="dxa"/>
        <w:jc w:val="left"/>
        <w:tblInd w:w="0" w:type="dxa"/>
        <w:tblCellMar>
          <w:top w:w="28" w:type="dxa"/>
          <w:left w:w="28" w:type="dxa"/>
          <w:bottom w:w="28" w:type="dxa"/>
          <w:right w:w="28" w:type="dxa"/>
        </w:tblCellMar>
      </w:tblPr>
      <w:tblGrid>
        <w:gridCol w:w="761"/>
        <w:gridCol w:w="589"/>
        <w:gridCol w:w="591"/>
        <w:gridCol w:w="211"/>
        <w:gridCol w:w="411"/>
        <w:gridCol w:w="109"/>
        <w:gridCol w:w="109"/>
        <w:gridCol w:w="109"/>
        <w:gridCol w:w="109"/>
        <w:gridCol w:w="211"/>
        <w:gridCol w:w="411"/>
        <w:gridCol w:w="109"/>
        <w:gridCol w:w="109"/>
        <w:gridCol w:w="109"/>
        <w:gridCol w:w="109"/>
        <w:gridCol w:w="531"/>
        <w:gridCol w:w="1214"/>
        <w:gridCol w:w="277"/>
        <w:gridCol w:w="109"/>
        <w:gridCol w:w="109"/>
        <w:gridCol w:w="109"/>
        <w:gridCol w:w="501"/>
        <w:gridCol w:w="1145"/>
        <w:gridCol w:w="260"/>
        <w:gridCol w:w="109"/>
        <w:gridCol w:w="109"/>
        <w:gridCol w:w="109"/>
        <w:gridCol w:w="388"/>
        <w:gridCol w:w="886"/>
        <w:gridCol w:w="292"/>
      </w:tblGrid>
      <w:tr>
        <w:trPr/>
        <w:tc>
          <w:tcPr>
            <w:tcW w:w="761" w:type="dxa"/>
            <w:tcBorders/>
            <w:shd w:fill="auto" w:val="clear"/>
            <w:vAlign w:val="center"/>
          </w:tcPr>
          <w:p>
            <w:pPr>
              <w:pStyle w:val="TableContents"/>
              <w:spacing w:before="0" w:after="283"/>
              <w:rPr>
                <w:sz w:val="4"/>
                <w:szCs w:val="4"/>
              </w:rPr>
            </w:pPr>
            <w:r>
              <w:rPr>
                <w:sz w:val="4"/>
                <w:szCs w:val="4"/>
              </w:rPr>
            </w:r>
          </w:p>
        </w:tc>
        <w:tc>
          <w:tcPr>
            <w:tcW w:w="589" w:type="dxa"/>
            <w:tcBorders/>
            <w:shd w:fill="auto" w:val="clear"/>
            <w:vAlign w:val="center"/>
          </w:tcPr>
          <w:p>
            <w:pPr>
              <w:pStyle w:val="TableContents"/>
              <w:spacing w:before="0" w:after="283"/>
              <w:rPr>
                <w:sz w:val="4"/>
                <w:szCs w:val="4"/>
              </w:rPr>
            </w:pPr>
            <w:r>
              <w:rPr>
                <w:sz w:val="4"/>
                <w:szCs w:val="4"/>
              </w:rPr>
            </w:r>
          </w:p>
        </w:tc>
        <w:tc>
          <w:tcPr>
            <w:tcW w:w="59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31" w:type="dxa"/>
            <w:tcBorders/>
            <w:shd w:fill="auto" w:val="clear"/>
            <w:vAlign w:val="center"/>
          </w:tcPr>
          <w:p>
            <w:pPr>
              <w:pStyle w:val="TableContents"/>
              <w:spacing w:before="0" w:after="283"/>
              <w:rPr>
                <w:sz w:val="4"/>
                <w:szCs w:val="4"/>
              </w:rPr>
            </w:pPr>
            <w:r>
              <w:rPr>
                <w:sz w:val="4"/>
                <w:szCs w:val="4"/>
              </w:rPr>
            </w:r>
          </w:p>
        </w:tc>
        <w:tc>
          <w:tcPr>
            <w:tcW w:w="1214"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c>
          <w:tcPr>
            <w:tcW w:w="1145"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886"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7533" w:type="dxa"/>
            <w:gridSpan w:val="24"/>
            <w:tcBorders/>
            <w:shd w:fill="auto" w:val="clea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4"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 2022</w:t>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tcPr>
          <w:p>
            <w:pPr>
              <w:pStyle w:val="TableContents"/>
              <w:spacing w:before="0" w:after="283"/>
              <w:rPr>
                <w:sz w:val="4"/>
                <w:szCs w:val="4"/>
              </w:rPr>
            </w:pPr>
            <w:r>
              <w:rPr>
                <w:sz w:val="4"/>
                <w:szCs w:val="4"/>
              </w:rPr>
            </w:r>
          </w:p>
        </w:tc>
      </w:tr>
      <w:tr>
        <w:trPr/>
        <w:tc>
          <w:tcPr>
            <w:tcW w:w="194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(Amounts in thousands)</w:t>
            </w:r>
          </w:p>
        </w:tc>
        <w:tc>
          <w:tcPr>
            <w:tcW w:w="73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FPD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3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FCD</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02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Subtotal–Reportable Segments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Eliminations and All Other</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56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Consolidated Total</w:t>
            </w:r>
          </w:p>
        </w:tc>
      </w:tr>
      <w:tr>
        <w:trPr/>
        <w:tc>
          <w:tcPr>
            <w:tcW w:w="19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Total Realignment Charges</w:t>
            </w:r>
          </w:p>
        </w:tc>
        <w:tc>
          <w:tcPr>
            <w:tcW w:w="73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3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22"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0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6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9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 xml:space="preserve">COS </w:t>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(83)</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3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14"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(137)</w:t>
            </w:r>
          </w:p>
        </w:tc>
        <w:tc>
          <w:tcPr>
            <w:tcW w:w="27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01"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45"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w:t>
            </w:r>
          </w:p>
        </w:tc>
        <w:tc>
          <w:tcPr>
            <w:tcW w:w="26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8"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8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(198)</w:t>
            </w:r>
          </w:p>
        </w:tc>
        <w:tc>
          <w:tcPr>
            <w:tcW w:w="29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4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0"/>
              </w:rPr>
              <w:t>SG&amp;A</w:t>
            </w:r>
          </w:p>
        </w:tc>
        <w:tc>
          <w:tcPr>
            <w:tcW w:w="62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11"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4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92 </w:t>
            </w:r>
          </w:p>
        </w:tc>
        <w:tc>
          <w:tcPr>
            <w:tcW w:w="27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(293)</w:t>
            </w:r>
          </w:p>
        </w:tc>
        <w:tc>
          <w:tcPr>
            <w:tcW w:w="2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(201)</w:t>
            </w:r>
          </w:p>
        </w:tc>
        <w:tc>
          <w:tcPr>
            <w:tcW w:w="292"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41"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3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0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66" w:type="dxa"/>
            <w:gridSpan w:val="3"/>
            <w:tcBorders/>
            <w:shd w:fill="auto" w:val="clear"/>
            <w:vAlign w:val="center"/>
          </w:tcPr>
          <w:p>
            <w:pPr>
              <w:pStyle w:val="TableContents"/>
              <w:spacing w:before="0" w:after="283"/>
              <w:rPr>
                <w:sz w:val="4"/>
                <w:szCs w:val="4"/>
              </w:rPr>
            </w:pPr>
            <w:r>
              <w:rPr>
                <w:sz w:val="4"/>
                <w:szCs w:val="4"/>
              </w:rPr>
            </w:r>
          </w:p>
        </w:tc>
      </w:tr>
      <w:tr>
        <w:trPr/>
        <w:tc>
          <w:tcPr>
            <w:tcW w:w="194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(37)</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3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21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w:t>
            </w:r>
          </w:p>
        </w:tc>
        <w:tc>
          <w:tcPr>
            <w:tcW w:w="27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0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4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(354)</w:t>
            </w:r>
          </w:p>
        </w:tc>
        <w:tc>
          <w:tcPr>
            <w:tcW w:w="26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8"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8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(399)</w:t>
            </w:r>
          </w:p>
        </w:tc>
        <w:tc>
          <w:tcPr>
            <w:tcW w:w="29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tbl>
      <w:tblPr>
        <w:tblW w:w="1368"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17" w:type="dxa"/>
            <w:gridSpan w:val="8"/>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tbl>
      <w:tblPr>
        <w:tblW w:w="1368"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17" w:type="dxa"/>
            <w:gridSpan w:val="8"/>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Consolidated Results</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Bookings, Sales and Backlog</w:t>
      </w:r>
    </w:p>
    <w:tbl>
      <w:tblPr>
        <w:tblW w:w="4735" w:type="dxa"/>
        <w:jc w:val="left"/>
        <w:tblInd w:w="0" w:type="dxa"/>
        <w:tblCellMar>
          <w:top w:w="28" w:type="dxa"/>
          <w:left w:w="28" w:type="dxa"/>
          <w:bottom w:w="28" w:type="dxa"/>
          <w:right w:w="28" w:type="dxa"/>
        </w:tblCellMar>
      </w:tblPr>
      <w:tblGrid>
        <w:gridCol w:w="690"/>
        <w:gridCol w:w="605"/>
        <w:gridCol w:w="609"/>
        <w:gridCol w:w="235"/>
        <w:gridCol w:w="853"/>
        <w:gridCol w:w="121"/>
        <w:gridCol w:w="121"/>
        <w:gridCol w:w="121"/>
        <w:gridCol w:w="121"/>
        <w:gridCol w:w="235"/>
        <w:gridCol w:w="853"/>
        <w:gridCol w:w="171"/>
      </w:tblGrid>
      <w:tr>
        <w:trPr/>
        <w:tc>
          <w:tcPr>
            <w:tcW w:w="690"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853"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853"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1"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w:t>
            </w:r>
          </w:p>
        </w:tc>
        <w:tc>
          <w:tcPr>
            <w:tcW w:w="120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5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Bookings</w:t>
            </w:r>
          </w:p>
        </w:tc>
        <w:tc>
          <w:tcPr>
            <w:tcW w:w="235"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1,057.2 </w:t>
            </w:r>
          </w:p>
        </w:tc>
        <w:tc>
          <w:tcPr>
            <w:tcW w:w="121"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5"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1,086.1 </w:t>
            </w:r>
          </w:p>
        </w:tc>
        <w:tc>
          <w:tcPr>
            <w:tcW w:w="171"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w:t>
            </w:r>
          </w:p>
        </w:tc>
        <w:tc>
          <w:tcPr>
            <w:tcW w:w="108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980.3 </w:t>
            </w:r>
          </w:p>
        </w:tc>
        <w:tc>
          <w:tcPr>
            <w:tcW w:w="121"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8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821.1 </w:t>
            </w:r>
          </w:p>
        </w:tc>
        <w:tc>
          <w:tcPr>
            <w:tcW w:w="171"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HorizontalLine"/>
        <w:rPr/>
      </w:pPr>
      <w:r>
        <w:rPr/>
      </w:r>
      <w:r>
        <mc:AlternateContent>
          <mc:Choice Requires="wps">
            <w:drawing>
              <wp:anchor behindDoc="0" distT="0" distB="0" distL="0" distR="0" simplePos="0" locked="0" layoutInCell="1" allowOverlap="1" relativeHeight="29">
                <wp:simplePos x="0" y="0"/>
                <wp:positionH relativeFrom="character">
                  <wp:align>left</wp:align>
                </wp:positionH>
                <wp:positionV relativeFrom="line">
                  <wp:posOffset>635</wp:posOffset>
                </wp:positionV>
                <wp:extent cx="6480175" cy="351155"/>
                <wp:effectExtent l="0" t="0" r="0" b="0"/>
                <wp:wrapNone/>
                <wp:docPr id="28" name="Frame2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22</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0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We define a booking as the receipt of a customer order that contractually engages us to perform activities on behalf of our customer with regard to manufacturing, service or support. Bookings recorded and subsequently canceled within the year-to-date period are excluded from year-to-date bookings. Bookings for the three months ended March 31, 2023 decreased by $28.9 million, or 2.7%, as compared with the same period in 2022. The decrease included negative currency effects of approximately $23 million. The decrease was driven by decreased customer orders in the oil and gas and power generation industries, partially offset by the chemical, general and water management industries. The decrease in customer bookings was driven by original equipment bookings.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Sales for the three months ended March 31, 2023 increase</w:t>
      </w:r>
      <w:r>
        <w:rPr>
          <w:rFonts w:ascii="Times New Roman;sans-serif" w:hAnsi="Times New Roman;sans-serif"/>
          <w:b w:val="false"/>
          <w:color w:val="000000"/>
          <w:sz w:val="20"/>
        </w:rPr>
        <w:t>d by $159.2 million, or 19.4%, a</w:t>
      </w:r>
      <w:r>
        <w:rPr>
          <w:rFonts w:ascii="Times New Roman;sans-serif" w:hAnsi="Times New Roman;sans-serif"/>
          <w:b w:val="false"/>
          <w:color w:val="000000"/>
          <w:sz w:val="20"/>
          <w:highlight w:val="white"/>
        </w:rPr>
        <w:t xml:space="preserve">s compared with the same period in 2022. </w:t>
      </w:r>
      <w:r>
        <w:rPr>
          <w:rFonts w:ascii="Times New Roman;sans-serif" w:hAnsi="Times New Roman;sans-serif"/>
          <w:b w:val="false"/>
          <w:color w:val="000000"/>
          <w:sz w:val="20"/>
        </w:rPr>
        <w:t>The increase included negative currency effects of approximately $24 million. The increased sales were driven by both aftermarket and original equipment customer sales, with increased customer sales into North America, Europe, Latin America, Asia Pacific and Middle East, partially offset by decreased customer sales into Africa. Net sales t</w:t>
      </w:r>
      <w:r>
        <w:rPr>
          <w:rFonts w:ascii="Times New Roman;sans-serif" w:hAnsi="Times New Roman;sans-serif"/>
          <w:b w:val="false"/>
          <w:color w:val="000000"/>
          <w:sz w:val="20"/>
          <w:highlight w:val="white"/>
        </w:rPr>
        <w:t>o international customers, including export sales from the U.S., were approximatel</w:t>
      </w:r>
      <w:r>
        <w:rPr>
          <w:rFonts w:ascii="Times New Roman;sans-serif" w:hAnsi="Times New Roman;sans-serif"/>
          <w:b w:val="false"/>
          <w:color w:val="000000"/>
          <w:sz w:val="20"/>
        </w:rPr>
        <w:t>y 63%</w:t>
      </w:r>
      <w:r>
        <w:rPr>
          <w:color w:val="000000"/>
          <w:highlight w:val="white"/>
        </w:rPr>
        <w:t xml:space="preserve"> </w:t>
      </w:r>
      <w:r>
        <w:rPr>
          <w:rFonts w:ascii="Times New Roman;sans-serif" w:hAnsi="Times New Roman;sans-serif"/>
          <w:b w:val="false"/>
          <w:color w:val="000000"/>
          <w:sz w:val="20"/>
          <w:highlight w:val="white"/>
        </w:rPr>
        <w:t xml:space="preserve">and 62% of total sales for the three months ended March 31, 2023 and 2022, respectively.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B</w:t>
      </w:r>
      <w:r>
        <w:rPr>
          <w:rFonts w:ascii="Times New Roman;sans-serif" w:hAnsi="Times New Roman;sans-serif"/>
          <w:b w:val="false"/>
          <w:color w:val="000000"/>
          <w:sz w:val="20"/>
        </w:rPr>
        <w:t>acklog represents the aggregate value of booked but uncompleted customer orders and is influenced primarily by bookings, sales, cancellat</w:t>
      </w:r>
      <w:r>
        <w:rPr>
          <w:rFonts w:ascii="Times New Roman;sans-serif" w:hAnsi="Times New Roman;sans-serif"/>
          <w:b w:val="false"/>
          <w:color w:val="000000"/>
          <w:sz w:val="20"/>
          <w:highlight w:val="white"/>
        </w:rPr>
        <w:t>ions and currency effects. Backlog of $2,806.3 million at March 31, 2023</w:t>
      </w:r>
      <w:r>
        <w:rPr>
          <w:color w:val="000000"/>
        </w:rPr>
        <w:t xml:space="preserve"> </w:t>
      </w:r>
      <w:r>
        <w:rPr>
          <w:rFonts w:ascii="Times New Roman;sans-serif" w:hAnsi="Times New Roman;sans-serif"/>
          <w:b w:val="false"/>
          <w:color w:val="000000"/>
          <w:sz w:val="20"/>
        </w:rPr>
        <w:t xml:space="preserve">increased by $71.0 million, or 2.6%, as compared with December 31, 2022. </w:t>
      </w:r>
      <w:r>
        <w:rPr>
          <w:rFonts w:ascii="Times New Roman;sans-serif" w:hAnsi="Times New Roman;sans-serif"/>
          <w:b w:val="false"/>
          <w:color w:val="000000"/>
          <w:sz w:val="20"/>
          <w:highlight w:val="white"/>
        </w:rPr>
        <w:t>Currency effects</w:t>
      </w:r>
      <w:r>
        <w:rPr>
          <w:color w:val="000000"/>
        </w:rPr>
        <w:t xml:space="preserve"> </w:t>
      </w:r>
      <w:r>
        <w:rPr>
          <w:rFonts w:ascii="Times New Roman;sans-serif" w:hAnsi="Times New Roman;sans-serif"/>
          <w:b w:val="false"/>
          <w:color w:val="000000"/>
          <w:sz w:val="20"/>
        </w:rPr>
        <w:t>provided an increase of approximately $19 million.</w:t>
      </w:r>
      <w:r>
        <w:rPr>
          <w:color w:val="000000"/>
          <w:highlight w:val="white"/>
        </w:rPr>
        <w:t xml:space="preserve"> </w:t>
      </w:r>
      <w:r>
        <w:rPr>
          <w:rFonts w:ascii="Times New Roman;sans-serif" w:hAnsi="Times New Roman;sans-serif"/>
          <w:b w:val="false"/>
          <w:color w:val="000000"/>
          <w:sz w:val="20"/>
          <w:highlight w:val="white"/>
        </w:rPr>
        <w:t>A</w:t>
      </w:r>
      <w:r>
        <w:rPr>
          <w:rFonts w:ascii="Times New Roman;sans-serif" w:hAnsi="Times New Roman;sans-serif"/>
          <w:b w:val="false"/>
          <w:color w:val="000000"/>
          <w:sz w:val="20"/>
        </w:rPr>
        <w:t xml:space="preserve">pproximately 34% of the backlog at both March 31, 2023 and December 31, 2022 was related to aftermarket orders. </w:t>
      </w:r>
      <w:r>
        <w:rPr>
          <w:rFonts w:ascii="Times New Roman;sans-serif" w:hAnsi="Times New Roman;sans-serif"/>
          <w:b w:val="false"/>
          <w:color w:val="000000"/>
          <w:sz w:val="20"/>
          <w:highlight w:val="white"/>
        </w:rPr>
        <w:t>Backlog includes our unsatisfied (or partially unsatisfied) performance obligations related to contracts having an original expected duration in excess of one year of approxi</w:t>
      </w:r>
      <w:r>
        <w:rPr>
          <w:rFonts w:ascii="Times New Roman;sans-serif" w:hAnsi="Times New Roman;sans-serif"/>
          <w:b w:val="false"/>
          <w:color w:val="000000"/>
          <w:sz w:val="20"/>
        </w:rPr>
        <w:t>mately $733 million, as discussed in Note 2 to our condensed consolidated financial statements included in this Quarterly Report. </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Gross Profit and Gross Profit Margin</w:t>
      </w:r>
    </w:p>
    <w:tbl>
      <w:tblPr>
        <w:tblW w:w="6372" w:type="dxa"/>
        <w:jc w:val="left"/>
        <w:tblInd w:w="0" w:type="dxa"/>
        <w:tblCellMar>
          <w:top w:w="28" w:type="dxa"/>
          <w:left w:w="28" w:type="dxa"/>
          <w:bottom w:w="28" w:type="dxa"/>
          <w:right w:w="28" w:type="dxa"/>
        </w:tblCellMar>
      </w:tblPr>
      <w:tblGrid>
        <w:gridCol w:w="1280"/>
        <w:gridCol w:w="1126"/>
        <w:gridCol w:w="1133"/>
        <w:gridCol w:w="233"/>
        <w:gridCol w:w="680"/>
        <w:gridCol w:w="299"/>
        <w:gridCol w:w="120"/>
        <w:gridCol w:w="120"/>
        <w:gridCol w:w="120"/>
        <w:gridCol w:w="233"/>
        <w:gridCol w:w="680"/>
        <w:gridCol w:w="348"/>
      </w:tblGrid>
      <w:tr>
        <w:trPr/>
        <w:tc>
          <w:tcPr>
            <w:tcW w:w="1280" w:type="dxa"/>
            <w:tcBorders/>
            <w:shd w:fill="auto" w:val="clear"/>
            <w:vAlign w:val="center"/>
          </w:tcPr>
          <w:p>
            <w:pPr>
              <w:pStyle w:val="TableContents"/>
              <w:spacing w:before="0" w:after="283"/>
              <w:rPr>
                <w:sz w:val="4"/>
                <w:szCs w:val="4"/>
              </w:rPr>
            </w:pPr>
            <w:r>
              <w:rPr>
                <w:sz w:val="4"/>
                <w:szCs w:val="4"/>
              </w:rPr>
            </w:r>
          </w:p>
        </w:tc>
        <w:tc>
          <w:tcPr>
            <w:tcW w:w="1126" w:type="dxa"/>
            <w:tcBorders/>
            <w:shd w:fill="auto" w:val="clear"/>
            <w:vAlign w:val="center"/>
          </w:tcPr>
          <w:p>
            <w:pPr>
              <w:pStyle w:val="TableContents"/>
              <w:spacing w:before="0" w:after="283"/>
              <w:rPr>
                <w:sz w:val="4"/>
                <w:szCs w:val="4"/>
              </w:rPr>
            </w:pPr>
            <w:r>
              <w:rPr>
                <w:sz w:val="4"/>
                <w:szCs w:val="4"/>
              </w:rPr>
            </w:r>
          </w:p>
        </w:tc>
        <w:tc>
          <w:tcPr>
            <w:tcW w:w="11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 except percentages)</w:t>
            </w:r>
          </w:p>
        </w:tc>
        <w:tc>
          <w:tcPr>
            <w:tcW w:w="121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w:t>
            </w:r>
          </w:p>
        </w:tc>
        <w:tc>
          <w:tcPr>
            <w:tcW w:w="23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296.8 </w:t>
            </w:r>
          </w:p>
        </w:tc>
        <w:tc>
          <w:tcPr>
            <w:tcW w:w="299"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209.6 </w:t>
            </w:r>
          </w:p>
        </w:tc>
        <w:tc>
          <w:tcPr>
            <w:tcW w:w="348"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 margin</w:t>
            </w:r>
          </w:p>
        </w:tc>
        <w:tc>
          <w:tcPr>
            <w:tcW w:w="91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30.3 </w:t>
            </w:r>
          </w:p>
        </w:tc>
        <w:tc>
          <w:tcPr>
            <w:tcW w:w="299"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25.5 </w:t>
            </w:r>
          </w:p>
        </w:tc>
        <w:tc>
          <w:tcPr>
            <w:tcW w:w="348"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Gross profit for the three months ended March 31, 2023 increased by $87.2 million, or 41.6%, as compared with the same period in 2022. Gross profit margin for the three months ended March 31, 2023 of 30.3% increased from 25.5% for the same period in 2022. The increase in gross profit margin was primarily due to the favorable impact of previously implemented sales price increases, higher sales volume and favorable original equipment mix, lower supply chain inflationary pressure and a $4.6 million charge taken in the first quarter of 2022 related to our financial exposure in Russia that did not recur, partially offset by higher broad-based annual incentive compensation as compared to the same period in 2022. Aftermarket sales represented approximately 53% of total sales for both periods in 2023 and 2022. </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 xml:space="preserve">Selling, General and Administrative Expense </w:t>
      </w:r>
    </w:p>
    <w:tbl>
      <w:tblPr>
        <w:tblW w:w="6372" w:type="dxa"/>
        <w:jc w:val="left"/>
        <w:tblInd w:w="0" w:type="dxa"/>
        <w:tblCellMar>
          <w:top w:w="28" w:type="dxa"/>
          <w:left w:w="28" w:type="dxa"/>
          <w:bottom w:w="28" w:type="dxa"/>
          <w:right w:w="28" w:type="dxa"/>
        </w:tblCellMar>
      </w:tblPr>
      <w:tblGrid>
        <w:gridCol w:w="1280"/>
        <w:gridCol w:w="1126"/>
        <w:gridCol w:w="1133"/>
        <w:gridCol w:w="233"/>
        <w:gridCol w:w="680"/>
        <w:gridCol w:w="299"/>
        <w:gridCol w:w="120"/>
        <w:gridCol w:w="120"/>
        <w:gridCol w:w="120"/>
        <w:gridCol w:w="233"/>
        <w:gridCol w:w="680"/>
        <w:gridCol w:w="348"/>
      </w:tblGrid>
      <w:tr>
        <w:trPr/>
        <w:tc>
          <w:tcPr>
            <w:tcW w:w="1280" w:type="dxa"/>
            <w:tcBorders/>
            <w:shd w:fill="auto" w:val="clear"/>
            <w:vAlign w:val="center"/>
          </w:tcPr>
          <w:p>
            <w:pPr>
              <w:pStyle w:val="TableContents"/>
              <w:spacing w:before="0" w:after="283"/>
              <w:rPr>
                <w:sz w:val="4"/>
                <w:szCs w:val="4"/>
              </w:rPr>
            </w:pPr>
            <w:r>
              <w:rPr>
                <w:sz w:val="4"/>
                <w:szCs w:val="4"/>
              </w:rPr>
            </w:r>
          </w:p>
        </w:tc>
        <w:tc>
          <w:tcPr>
            <w:tcW w:w="1126" w:type="dxa"/>
            <w:tcBorders/>
            <w:shd w:fill="auto" w:val="clear"/>
            <w:vAlign w:val="center"/>
          </w:tcPr>
          <w:p>
            <w:pPr>
              <w:pStyle w:val="TableContents"/>
              <w:spacing w:before="0" w:after="283"/>
              <w:rPr>
                <w:sz w:val="4"/>
                <w:szCs w:val="4"/>
              </w:rPr>
            </w:pPr>
            <w:r>
              <w:rPr>
                <w:sz w:val="4"/>
                <w:szCs w:val="4"/>
              </w:rPr>
            </w:r>
          </w:p>
        </w:tc>
        <w:tc>
          <w:tcPr>
            <w:tcW w:w="1133"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 except percentages)</w:t>
            </w:r>
          </w:p>
        </w:tc>
        <w:tc>
          <w:tcPr>
            <w:tcW w:w="121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SG&amp;A</w:t>
            </w:r>
          </w:p>
        </w:tc>
        <w:tc>
          <w:tcPr>
            <w:tcW w:w="23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244.3 </w:t>
            </w:r>
          </w:p>
        </w:tc>
        <w:tc>
          <w:tcPr>
            <w:tcW w:w="299"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206.1 </w:t>
            </w:r>
          </w:p>
        </w:tc>
        <w:tc>
          <w:tcPr>
            <w:tcW w:w="348"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SG&amp;A as a percentage of sales</w:t>
            </w:r>
          </w:p>
        </w:tc>
        <w:tc>
          <w:tcPr>
            <w:tcW w:w="91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24.9 </w:t>
            </w:r>
          </w:p>
        </w:tc>
        <w:tc>
          <w:tcPr>
            <w:tcW w:w="299"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25.1 </w:t>
            </w:r>
          </w:p>
        </w:tc>
        <w:tc>
          <w:tcPr>
            <w:tcW w:w="348"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0" w:after="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SG&amp;A for the three months ended March 31, 2023 increased by $38.2 million, or 18.5%, as compared with the same period in 2022. Currency effects yielded a decrease of approximately $4 million. SG&amp;A as a percentage of sales for the three months ended March 31, 2023 decreased 20 basis points primarily due to a $10.2 million charge taken in the first quarter of 2022 related to our financial exposure in Russia that did not recur and increased sales leverage, substantially offset by higher broad-based annual incentive compensation, increased charges related to our Realignment Programs, $5.0 million of costs associated with a discrete legal matter, a $3.7 million increase in research and development costs, $3.1 million of expense related to the pending acquisition of Velan Inc. and a $2.9 million write-down of an impaired licensing intangible as compared with the same period in 2022.</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 xml:space="preserve">Net Earnings from Affiliates </w:t>
      </w:r>
    </w:p>
    <w:p>
      <w:pPr>
        <w:pStyle w:val="HorizontalLine"/>
        <w:rPr/>
      </w:pPr>
      <w:r>
        <w:rPr/>
      </w:r>
      <w:r>
        <mc:AlternateContent>
          <mc:Choice Requires="wps">
            <w:drawing>
              <wp:anchor behindDoc="0" distT="0" distB="0" distL="0" distR="0" simplePos="0" locked="0" layoutInCell="1" allowOverlap="1" relativeHeight="30">
                <wp:simplePos x="0" y="0"/>
                <wp:positionH relativeFrom="character">
                  <wp:align>left</wp:align>
                </wp:positionH>
                <wp:positionV relativeFrom="line">
                  <wp:posOffset>635</wp:posOffset>
                </wp:positionV>
                <wp:extent cx="6480175" cy="351155"/>
                <wp:effectExtent l="0" t="0" r="0" b="0"/>
                <wp:wrapNone/>
                <wp:docPr id="29" name="Frame2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23</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00" w:after="100"/>
        <w:jc w:val="both"/>
        <w:rPr>
          <w:color w:val="000000"/>
        </w:rPr>
      </w:pPr>
      <w:r>
        <w:rPr>
          <w:color w:val="000000"/>
        </w:rPr>
        <w:t>    </w:t>
      </w:r>
    </w:p>
    <w:tbl>
      <w:tblPr>
        <w:tblW w:w="5143" w:type="dxa"/>
        <w:jc w:val="left"/>
        <w:tblInd w:w="0" w:type="dxa"/>
        <w:tblCellMar>
          <w:top w:w="28" w:type="dxa"/>
          <w:left w:w="28" w:type="dxa"/>
          <w:bottom w:w="28" w:type="dxa"/>
          <w:right w:w="28" w:type="dxa"/>
        </w:tblCellMar>
      </w:tblPr>
      <w:tblGrid>
        <w:gridCol w:w="837"/>
        <w:gridCol w:w="734"/>
        <w:gridCol w:w="739"/>
        <w:gridCol w:w="328"/>
        <w:gridCol w:w="631"/>
        <w:gridCol w:w="169"/>
        <w:gridCol w:w="169"/>
        <w:gridCol w:w="169"/>
        <w:gridCol w:w="169"/>
        <w:gridCol w:w="328"/>
        <w:gridCol w:w="631"/>
        <w:gridCol w:w="239"/>
      </w:tblGrid>
      <w:tr>
        <w:trPr/>
        <w:tc>
          <w:tcPr>
            <w:tcW w:w="837" w:type="dxa"/>
            <w:tcBorders/>
            <w:shd w:fill="auto" w:val="clear"/>
            <w:vAlign w:val="center"/>
          </w:tcPr>
          <w:p>
            <w:pPr>
              <w:pStyle w:val="TableContents"/>
              <w:spacing w:before="0" w:after="283"/>
              <w:rPr>
                <w:sz w:val="4"/>
                <w:szCs w:val="4"/>
              </w:rPr>
            </w:pPr>
            <w:r>
              <w:rPr>
                <w:sz w:val="4"/>
                <w:szCs w:val="4"/>
              </w:rPr>
            </w:r>
          </w:p>
        </w:tc>
        <w:tc>
          <w:tcPr>
            <w:tcW w:w="734" w:type="dxa"/>
            <w:tcBorders/>
            <w:shd w:fill="auto" w:val="clear"/>
            <w:vAlign w:val="center"/>
          </w:tcPr>
          <w:p>
            <w:pPr>
              <w:pStyle w:val="TableContents"/>
              <w:spacing w:before="0" w:after="283"/>
              <w:rPr>
                <w:sz w:val="4"/>
                <w:szCs w:val="4"/>
              </w:rPr>
            </w:pPr>
            <w:r>
              <w:rPr>
                <w:sz w:val="4"/>
                <w:szCs w:val="4"/>
              </w:rPr>
            </w:r>
          </w:p>
        </w:tc>
        <w:tc>
          <w:tcPr>
            <w:tcW w:w="739"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r>
      <w:tr>
        <w:trPr/>
        <w:tc>
          <w:tcPr>
            <w:tcW w:w="23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23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w:t>
            </w:r>
          </w:p>
        </w:tc>
        <w:tc>
          <w:tcPr>
            <w:tcW w:w="112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50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23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earnings from affiliates</w:t>
            </w:r>
          </w:p>
        </w:tc>
        <w:tc>
          <w:tcPr>
            <w:tcW w:w="328"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31"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4.6 </w:t>
            </w:r>
          </w:p>
        </w:tc>
        <w:tc>
          <w:tcPr>
            <w:tcW w:w="169"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50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8"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31"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3.9 </w:t>
            </w:r>
          </w:p>
        </w:tc>
        <w:tc>
          <w:tcPr>
            <w:tcW w:w="239"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Net earnings from affiliates for the three months ended March 31, 2023 increased by $0.7 million, or 17.9%, as compared with the same period in 2022. The increase in net earnings was primarily a result of increased earnings of our FPD joint venture in Chile.</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 xml:space="preserve">Operating Income and Operating Margin </w:t>
      </w:r>
    </w:p>
    <w:tbl>
      <w:tblPr>
        <w:tblW w:w="6372" w:type="dxa"/>
        <w:jc w:val="left"/>
        <w:tblInd w:w="0" w:type="dxa"/>
        <w:tblCellMar>
          <w:top w:w="28" w:type="dxa"/>
          <w:left w:w="28" w:type="dxa"/>
          <w:bottom w:w="28" w:type="dxa"/>
          <w:right w:w="28" w:type="dxa"/>
        </w:tblCellMar>
      </w:tblPr>
      <w:tblGrid>
        <w:gridCol w:w="1280"/>
        <w:gridCol w:w="1126"/>
        <w:gridCol w:w="1133"/>
        <w:gridCol w:w="265"/>
        <w:gridCol w:w="643"/>
        <w:gridCol w:w="341"/>
        <w:gridCol w:w="137"/>
        <w:gridCol w:w="137"/>
        <w:gridCol w:w="137"/>
        <w:gridCol w:w="265"/>
        <w:gridCol w:w="511"/>
        <w:gridCol w:w="397"/>
      </w:tblGrid>
      <w:tr>
        <w:trPr/>
        <w:tc>
          <w:tcPr>
            <w:tcW w:w="1280" w:type="dxa"/>
            <w:tcBorders/>
            <w:shd w:fill="auto" w:val="clear"/>
            <w:vAlign w:val="center"/>
          </w:tcPr>
          <w:p>
            <w:pPr>
              <w:pStyle w:val="TableContents"/>
              <w:spacing w:before="0" w:after="283"/>
              <w:rPr>
                <w:sz w:val="4"/>
                <w:szCs w:val="4"/>
              </w:rPr>
            </w:pPr>
            <w:r>
              <w:rPr>
                <w:sz w:val="4"/>
                <w:szCs w:val="4"/>
              </w:rPr>
            </w:r>
          </w:p>
        </w:tc>
        <w:tc>
          <w:tcPr>
            <w:tcW w:w="1126" w:type="dxa"/>
            <w:tcBorders/>
            <w:shd w:fill="auto" w:val="clear"/>
            <w:vAlign w:val="center"/>
          </w:tcPr>
          <w:p>
            <w:pPr>
              <w:pStyle w:val="TableContents"/>
              <w:spacing w:before="0" w:after="283"/>
              <w:rPr>
                <w:sz w:val="4"/>
                <w:szCs w:val="4"/>
              </w:rPr>
            </w:pPr>
            <w:r>
              <w:rPr>
                <w:sz w:val="4"/>
                <w:szCs w:val="4"/>
              </w:rPr>
            </w:r>
          </w:p>
        </w:tc>
        <w:tc>
          <w:tcPr>
            <w:tcW w:w="1133"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center"/>
          </w:tcPr>
          <w:p>
            <w:pPr>
              <w:pStyle w:val="TableContents"/>
              <w:spacing w:before="0" w:after="283"/>
              <w:rPr>
                <w:sz w:val="4"/>
                <w:szCs w:val="4"/>
              </w:rPr>
            </w:pPr>
            <w:r>
              <w:rPr>
                <w:sz w:val="4"/>
                <w:szCs w:val="4"/>
              </w:rPr>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 except percentages)</w:t>
            </w:r>
          </w:p>
        </w:tc>
        <w:tc>
          <w:tcPr>
            <w:tcW w:w="124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1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Operating income </w:t>
            </w:r>
          </w:p>
        </w:tc>
        <w:tc>
          <w:tcPr>
            <w:tcW w:w="265"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4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57.2 </w:t>
            </w:r>
          </w:p>
        </w:tc>
        <w:tc>
          <w:tcPr>
            <w:tcW w:w="341"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5"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11"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7.4 </w:t>
            </w:r>
          </w:p>
        </w:tc>
        <w:tc>
          <w:tcPr>
            <w:tcW w:w="397"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Operating income as a percentage of sales</w:t>
            </w:r>
          </w:p>
        </w:tc>
        <w:tc>
          <w:tcPr>
            <w:tcW w:w="90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5.8 </w:t>
            </w:r>
          </w:p>
        </w:tc>
        <w:tc>
          <w:tcPr>
            <w:tcW w:w="341"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76"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0.9 </w:t>
            </w:r>
          </w:p>
        </w:tc>
        <w:tc>
          <w:tcPr>
            <w:tcW w:w="397"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0" w:after="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Operating income for the three months ended March 31, 2023 increased by $49.8 million, or 673.0%, as compared with the same period in 2022. The increase included negative currency effects of approximately $7 million. The increase was primarily a result of the $87.2 million increase in gross profit partially offset by the $38.2 million increase in SG&amp;A.</w:t>
      </w:r>
    </w:p>
    <w:p>
      <w:pPr>
        <w:pStyle w:val="TextBody"/>
        <w:spacing w:before="0" w:after="0"/>
        <w:ind w:left="0" w:right="0" w:firstLine="360"/>
        <w:jc w:val="both"/>
        <w:rPr/>
      </w:pPr>
      <w:r>
        <w:rPr/>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Interest Expense and Interest Income</w:t>
      </w:r>
    </w:p>
    <w:tbl>
      <w:tblPr>
        <w:tblW w:w="4733" w:type="dxa"/>
        <w:jc w:val="left"/>
        <w:tblInd w:w="0" w:type="dxa"/>
        <w:tblCellMar>
          <w:top w:w="28" w:type="dxa"/>
          <w:left w:w="28" w:type="dxa"/>
          <w:bottom w:w="28" w:type="dxa"/>
          <w:right w:w="28" w:type="dxa"/>
        </w:tblCellMar>
      </w:tblPr>
      <w:tblGrid>
        <w:gridCol w:w="690"/>
        <w:gridCol w:w="605"/>
        <w:gridCol w:w="609"/>
        <w:gridCol w:w="273"/>
        <w:gridCol w:w="760"/>
        <w:gridCol w:w="141"/>
        <w:gridCol w:w="141"/>
        <w:gridCol w:w="141"/>
        <w:gridCol w:w="141"/>
        <w:gridCol w:w="273"/>
        <w:gridCol w:w="760"/>
        <w:gridCol w:w="199"/>
      </w:tblGrid>
      <w:tr>
        <w:trPr/>
        <w:tc>
          <w:tcPr>
            <w:tcW w:w="690"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2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w:t>
            </w:r>
          </w:p>
        </w:tc>
        <w:tc>
          <w:tcPr>
            <w:tcW w:w="117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2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3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expense</w:t>
            </w:r>
          </w:p>
        </w:tc>
        <w:tc>
          <w:tcPr>
            <w:tcW w:w="27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60"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(16.2)</w:t>
            </w:r>
          </w:p>
        </w:tc>
        <w:tc>
          <w:tcPr>
            <w:tcW w:w="141"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60"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(10.7)</w:t>
            </w:r>
          </w:p>
        </w:tc>
        <w:tc>
          <w:tcPr>
            <w:tcW w:w="199"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Interest income</w:t>
            </w:r>
          </w:p>
        </w:tc>
        <w:tc>
          <w:tcPr>
            <w:tcW w:w="103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1.5 </w:t>
            </w:r>
          </w:p>
        </w:tc>
        <w:tc>
          <w:tcPr>
            <w:tcW w:w="141"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0.9 </w:t>
            </w:r>
          </w:p>
        </w:tc>
        <w:tc>
          <w:tcPr>
            <w:tcW w:w="19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Interest expense for the three months ended March 31, 2023 increased $5.5 million, as compared with the same period in 2022, primarily due to higher effective interest rates on our outstanding debt as compared with the same period in 2022.</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Other Income (Expense), Net</w:t>
      </w:r>
    </w:p>
    <w:tbl>
      <w:tblPr>
        <w:tblW w:w="5218" w:type="dxa"/>
        <w:jc w:val="left"/>
        <w:tblInd w:w="0" w:type="dxa"/>
        <w:tblCellMar>
          <w:top w:w="28" w:type="dxa"/>
          <w:left w:w="28" w:type="dxa"/>
          <w:bottom w:w="28" w:type="dxa"/>
          <w:right w:w="28" w:type="dxa"/>
        </w:tblCellMar>
      </w:tblPr>
      <w:tblGrid>
        <w:gridCol w:w="864"/>
        <w:gridCol w:w="758"/>
        <w:gridCol w:w="763"/>
        <w:gridCol w:w="303"/>
        <w:gridCol w:w="691"/>
        <w:gridCol w:w="156"/>
        <w:gridCol w:w="156"/>
        <w:gridCol w:w="156"/>
        <w:gridCol w:w="156"/>
        <w:gridCol w:w="303"/>
        <w:gridCol w:w="691"/>
        <w:gridCol w:w="221"/>
      </w:tblGrid>
      <w:tr>
        <w:trPr/>
        <w:tc>
          <w:tcPr>
            <w:tcW w:w="864" w:type="dxa"/>
            <w:tcBorders/>
            <w:shd w:fill="auto" w:val="clear"/>
            <w:vAlign w:val="center"/>
          </w:tcPr>
          <w:p>
            <w:pPr>
              <w:pStyle w:val="TableContents"/>
              <w:spacing w:before="0" w:after="283"/>
              <w:rPr>
                <w:sz w:val="4"/>
                <w:szCs w:val="4"/>
              </w:rPr>
            </w:pPr>
            <w:r>
              <w:rPr>
                <w:sz w:val="4"/>
                <w:szCs w:val="4"/>
              </w:rPr>
            </w:r>
          </w:p>
        </w:tc>
        <w:tc>
          <w:tcPr>
            <w:tcW w:w="758" w:type="dxa"/>
            <w:tcBorders/>
            <w:shd w:fill="auto" w:val="clear"/>
            <w:vAlign w:val="center"/>
          </w:tcPr>
          <w:p>
            <w:pPr>
              <w:pStyle w:val="TableContents"/>
              <w:spacing w:before="0" w:after="283"/>
              <w:rPr>
                <w:sz w:val="4"/>
                <w:szCs w:val="4"/>
              </w:rPr>
            </w:pPr>
            <w:r>
              <w:rPr>
                <w:sz w:val="4"/>
                <w:szCs w:val="4"/>
              </w:rPr>
            </w:r>
          </w:p>
        </w:tc>
        <w:tc>
          <w:tcPr>
            <w:tcW w:w="763"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r>
      <w:tr>
        <w:trPr/>
        <w:tc>
          <w:tcPr>
            <w:tcW w:w="23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23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w:t>
            </w:r>
          </w:p>
        </w:tc>
        <w:tc>
          <w:tcPr>
            <w:tcW w:w="115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6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1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23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income (expense), net</w:t>
            </w:r>
          </w:p>
        </w:tc>
        <w:tc>
          <w:tcPr>
            <w:tcW w:w="30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91"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w:t>
            </w:r>
          </w:p>
        </w:tc>
        <w:tc>
          <w:tcPr>
            <w:tcW w:w="156"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6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91"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(8.1)</w:t>
            </w:r>
          </w:p>
        </w:tc>
        <w:tc>
          <w:tcPr>
            <w:tcW w:w="221"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6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Other expense, net for the three months ended March 31, 2023 decreased $0.1 million as compared with the same period in 2022, due primarily to a $2.1 million increase in losses from transactions in currencies other than our sites' functional currencies, substantially offset by a $0.4 million increase in gains arising from transactions on foreign exchange forward contracts and a $1.6 million decrease in pension related costs. The net change was primarily due to the foreign currency exchange rate movements in the Euro, Hungarian forint, Mexican peso, and Brazilian real during the three months ended March 31, 2023, as compared with the same period in 2022. </w:t>
      </w:r>
    </w:p>
    <w:p>
      <w:pPr>
        <w:pStyle w:val="HorizontalLine"/>
        <w:rPr/>
      </w:pPr>
      <w:r>
        <w:rPr/>
      </w:r>
      <w:r>
        <mc:AlternateContent>
          <mc:Choice Requires="wps">
            <w:drawing>
              <wp:anchor behindDoc="0" distT="0" distB="0" distL="0" distR="0" simplePos="0" locked="0" layoutInCell="1" allowOverlap="1" relativeHeight="31">
                <wp:simplePos x="0" y="0"/>
                <wp:positionH relativeFrom="character">
                  <wp:align>left</wp:align>
                </wp:positionH>
                <wp:positionV relativeFrom="line">
                  <wp:posOffset>635</wp:posOffset>
                </wp:positionV>
                <wp:extent cx="6480175" cy="351155"/>
                <wp:effectExtent l="0" t="0" r="0" b="0"/>
                <wp:wrapNone/>
                <wp:docPr id="30" name="Frame2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24</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 xml:space="preserve">Income Taxes and Tax Rate </w:t>
      </w:r>
    </w:p>
    <w:tbl>
      <w:tblPr>
        <w:tblW w:w="6370" w:type="dxa"/>
        <w:jc w:val="left"/>
        <w:tblInd w:w="0" w:type="dxa"/>
        <w:tblCellMar>
          <w:top w:w="28" w:type="dxa"/>
          <w:left w:w="28" w:type="dxa"/>
          <w:bottom w:w="28" w:type="dxa"/>
          <w:right w:w="28" w:type="dxa"/>
        </w:tblCellMar>
      </w:tblPr>
      <w:tblGrid>
        <w:gridCol w:w="1280"/>
        <w:gridCol w:w="1126"/>
        <w:gridCol w:w="1133"/>
        <w:gridCol w:w="278"/>
        <w:gridCol w:w="536"/>
        <w:gridCol w:w="357"/>
        <w:gridCol w:w="143"/>
        <w:gridCol w:w="143"/>
        <w:gridCol w:w="143"/>
        <w:gridCol w:w="278"/>
        <w:gridCol w:w="536"/>
        <w:gridCol w:w="417"/>
      </w:tblGrid>
      <w:tr>
        <w:trPr/>
        <w:tc>
          <w:tcPr>
            <w:tcW w:w="1280" w:type="dxa"/>
            <w:tcBorders/>
            <w:shd w:fill="auto" w:val="clear"/>
            <w:vAlign w:val="center"/>
          </w:tcPr>
          <w:p>
            <w:pPr>
              <w:pStyle w:val="TableContents"/>
              <w:spacing w:before="0" w:after="283"/>
              <w:rPr>
                <w:sz w:val="4"/>
                <w:szCs w:val="4"/>
              </w:rPr>
            </w:pPr>
            <w:r>
              <w:rPr>
                <w:sz w:val="4"/>
                <w:szCs w:val="4"/>
              </w:rPr>
            </w:r>
          </w:p>
        </w:tc>
        <w:tc>
          <w:tcPr>
            <w:tcW w:w="1126" w:type="dxa"/>
            <w:tcBorders/>
            <w:shd w:fill="auto" w:val="clear"/>
            <w:vAlign w:val="center"/>
          </w:tcPr>
          <w:p>
            <w:pPr>
              <w:pStyle w:val="TableContents"/>
              <w:spacing w:before="0" w:after="283"/>
              <w:rPr>
                <w:sz w:val="4"/>
                <w:szCs w:val="4"/>
              </w:rPr>
            </w:pPr>
            <w:r>
              <w:rPr>
                <w:sz w:val="4"/>
                <w:szCs w:val="4"/>
              </w:rPr>
            </w:r>
          </w:p>
        </w:tc>
        <w:tc>
          <w:tcPr>
            <w:tcW w:w="1133"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r>
      <w:tr>
        <w:trPr/>
        <w:tc>
          <w:tcPr>
            <w:tcW w:w="35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1" w:type="dxa"/>
            <w:gridSpan w:val="9"/>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35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 except percentages)</w:t>
            </w:r>
          </w:p>
        </w:tc>
        <w:tc>
          <w:tcPr>
            <w:tcW w:w="117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2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23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35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Provision for (benefit from) income taxes</w:t>
            </w:r>
          </w:p>
        </w:tc>
        <w:tc>
          <w:tcPr>
            <w:tcW w:w="278"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3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4.5 </w:t>
            </w:r>
          </w:p>
        </w:tc>
        <w:tc>
          <w:tcPr>
            <w:tcW w:w="35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2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8"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53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3.2 </w:t>
            </w:r>
          </w:p>
        </w:tc>
        <w:tc>
          <w:tcPr>
            <w:tcW w:w="417"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5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Effective tax rate</w:t>
            </w:r>
          </w:p>
        </w:tc>
        <w:tc>
          <w:tcPr>
            <w:tcW w:w="81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12.9 </w:t>
            </w:r>
          </w:p>
        </w:tc>
        <w:tc>
          <w:tcPr>
            <w:tcW w:w="357"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42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(30.5)</w:t>
            </w:r>
          </w:p>
        </w:tc>
        <w:tc>
          <w:tcPr>
            <w:tcW w:w="417"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December 2022, the European Union (“EU”) member states reached an agreement to implement the minimum tax component (“Pillar Two”) of the Organization for Economic Co-operation and Development’s tax reform initiative. Many countries continue to consider changes in their tax laws and regulations based on the Pillar Two proposals. We are continuing to evaluate the impact of these proposed and enacted legislative changes as new guidance becomes available. Some of these legislative changes could result in double taxation of our non-U.S. earnings, a reduction in the tax benefit received from our tax incentives, or other impacts to our effective tax rate and tax liabilities.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The effective tax rate of 12.9% for the three months ended March 31, 2023 increased from (30.5)% for the same period in 2022. The effective tax rate varied from the U.S. federal statutory rate for the three months ended March 31, 2023 primarily due to the benefits of a tax planning strategy partially offset by the net impact of foreign operations and state income taxes. Refer to Note 13 to our condensed consolidated financial statements included in this Quarterly Report for further discussion. </w:t>
      </w:r>
    </w:p>
    <w:p>
      <w:pPr>
        <w:pStyle w:val="TextBody"/>
        <w:spacing w:lineRule="auto" w:line="288" w:before="240" w:after="100"/>
        <w:rPr>
          <w:rFonts w:ascii="Times New Roman;sans-serif" w:hAnsi="Times New Roman;sans-serif"/>
          <w:b/>
          <w:color w:val="000000"/>
          <w:sz w:val="20"/>
        </w:rPr>
      </w:pPr>
      <w:r>
        <w:rPr>
          <w:rFonts w:ascii="Times New Roman;sans-serif" w:hAnsi="Times New Roman;sans-serif"/>
          <w:b/>
          <w:color w:val="000000"/>
          <w:sz w:val="20"/>
        </w:rPr>
        <w:t xml:space="preserve">Other Comprehensive Income (Loss) </w:t>
      </w:r>
    </w:p>
    <w:tbl>
      <w:tblPr>
        <w:tblW w:w="5802" w:type="dxa"/>
        <w:jc w:val="left"/>
        <w:tblInd w:w="0" w:type="dxa"/>
        <w:tblCellMar>
          <w:top w:w="28" w:type="dxa"/>
          <w:left w:w="28" w:type="dxa"/>
          <w:bottom w:w="28" w:type="dxa"/>
          <w:right w:w="28" w:type="dxa"/>
        </w:tblCellMar>
      </w:tblPr>
      <w:tblGrid>
        <w:gridCol w:w="1076"/>
        <w:gridCol w:w="944"/>
        <w:gridCol w:w="950"/>
        <w:gridCol w:w="283"/>
        <w:gridCol w:w="687"/>
        <w:gridCol w:w="146"/>
        <w:gridCol w:w="146"/>
        <w:gridCol w:w="146"/>
        <w:gridCol w:w="146"/>
        <w:gridCol w:w="283"/>
        <w:gridCol w:w="788"/>
        <w:gridCol w:w="207"/>
      </w:tblGrid>
      <w:tr>
        <w:trPr/>
        <w:tc>
          <w:tcPr>
            <w:tcW w:w="1076" w:type="dxa"/>
            <w:tcBorders/>
            <w:shd w:fill="auto" w:val="clear"/>
            <w:vAlign w:val="center"/>
          </w:tcPr>
          <w:p>
            <w:pPr>
              <w:pStyle w:val="TableContents"/>
              <w:spacing w:before="0" w:after="283"/>
              <w:rPr>
                <w:sz w:val="4"/>
                <w:szCs w:val="4"/>
              </w:rPr>
            </w:pPr>
            <w:r>
              <w:rPr>
                <w:sz w:val="4"/>
                <w:szCs w:val="4"/>
              </w:rPr>
            </w:r>
          </w:p>
        </w:tc>
        <w:tc>
          <w:tcPr>
            <w:tcW w:w="944"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687"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r>
      <w:tr>
        <w:trPr/>
        <w:tc>
          <w:tcPr>
            <w:tcW w:w="297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2"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297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w:t>
            </w:r>
          </w:p>
        </w:tc>
        <w:tc>
          <w:tcPr>
            <w:tcW w:w="111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3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7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297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Other comprehensive income (loss)</w:t>
            </w:r>
          </w:p>
        </w:tc>
        <w:tc>
          <w:tcPr>
            <w:tcW w:w="28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7"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13.1 </w:t>
            </w:r>
          </w:p>
        </w:tc>
        <w:tc>
          <w:tcPr>
            <w:tcW w:w="146"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3"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88"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(13.1)</w:t>
            </w:r>
          </w:p>
        </w:tc>
        <w:tc>
          <w:tcPr>
            <w:tcW w:w="207" w:type="dxa"/>
            <w:tcBorders>
              <w:top w:val="single" w:sz="8" w:space="0" w:color="000000"/>
            </w:tcBorders>
            <w:shd w:fill="auto" w:val="clear"/>
            <w:tcMar>
              <w:top w:w="30" w:type="dxa"/>
              <w:left w:w="0" w:type="dxa"/>
              <w:bottom w:w="0" w:type="dxa"/>
              <w:right w:w="0" w:type="dxa"/>
            </w:tcMar>
            <w:vAlign w:val="center"/>
          </w:tcPr>
          <w:p>
            <w:pPr>
              <w:pStyle w:val="TableContents"/>
              <w:spacing w:before="0" w:after="283"/>
              <w:rPr>
                <w:sz w:val="4"/>
                <w:szCs w:val="4"/>
              </w:rPr>
            </w:pPr>
            <w:r>
              <w:rPr>
                <w:sz w:val="4"/>
                <w:szCs w:val="4"/>
              </w:rPr>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80" w:after="283"/>
        <w:ind w:left="0" w:right="0" w:firstLine="360"/>
        <w:jc w:val="both"/>
        <w:rPr/>
      </w:pPr>
      <w:r>
        <w:rPr>
          <w:rFonts w:ascii="Times New Roman;sans-serif" w:hAnsi="Times New Roman;sans-serif"/>
          <w:b w:val="false"/>
          <w:color w:val="000000"/>
          <w:sz w:val="20"/>
          <w:highlight w:val="white"/>
        </w:rPr>
        <w:t>Other comprehensive income for</w:t>
      </w:r>
      <w:r>
        <w:rPr>
          <w:color w:val="000000"/>
        </w:rPr>
        <w:t xml:space="preserve"> </w:t>
      </w:r>
      <w:r>
        <w:rPr>
          <w:rFonts w:ascii="Times New Roman;sans-serif" w:hAnsi="Times New Roman;sans-serif"/>
          <w:b w:val="false"/>
          <w:color w:val="000000"/>
          <w:sz w:val="20"/>
        </w:rPr>
        <w:t>the three months ended March 31, 2023 increased by $26.2 million</w:t>
      </w:r>
      <w:r>
        <w:rPr>
          <w:color w:val="000000"/>
          <w:highlight w:val="white"/>
        </w:rPr>
        <w:t xml:space="preserve"> </w:t>
      </w:r>
      <w:r>
        <w:rPr>
          <w:rFonts w:ascii="Times New Roman;sans-serif" w:hAnsi="Times New Roman;sans-serif"/>
          <w:b w:val="false"/>
          <w:color w:val="000000"/>
          <w:sz w:val="20"/>
          <w:highlight w:val="white"/>
        </w:rPr>
        <w:t>from a loss of $(13.1) million in the same period in 2022. T</w:t>
      </w:r>
      <w:r>
        <w:rPr>
          <w:rFonts w:ascii="Times New Roman;sans-serif" w:hAnsi="Times New Roman;sans-serif"/>
          <w:b w:val="false"/>
          <w:color w:val="000000"/>
          <w:sz w:val="20"/>
        </w:rPr>
        <w:t>he income w</w:t>
      </w:r>
      <w:r>
        <w:rPr>
          <w:rFonts w:ascii="Times New Roman;sans-serif" w:hAnsi="Times New Roman;sans-serif"/>
          <w:b w:val="false"/>
          <w:color w:val="000000"/>
          <w:sz w:val="20"/>
          <w:highlight w:val="white"/>
        </w:rPr>
        <w:t>as primarily due to foreign currency translation adjustments resulting primarily from exchange rate movements o</w:t>
      </w:r>
      <w:r>
        <w:rPr>
          <w:rFonts w:ascii="Times New Roman;sans-serif" w:hAnsi="Times New Roman;sans-serif"/>
          <w:b w:val="false"/>
          <w:color w:val="000000"/>
          <w:sz w:val="20"/>
        </w:rPr>
        <w:t>f the Euro, British pound and Mexican peso versus the U.S. dollar dur</w:t>
      </w:r>
      <w:r>
        <w:rPr>
          <w:rFonts w:ascii="Times New Roman;sans-serif" w:hAnsi="Times New Roman;sans-serif"/>
          <w:b w:val="false"/>
          <w:color w:val="000000"/>
          <w:sz w:val="20"/>
          <w:highlight w:val="white"/>
        </w:rPr>
        <w:t xml:space="preserve">ing the three months ended March 31, 2023, as compared with the same period in 2022. </w:t>
      </w:r>
    </w:p>
    <w:p>
      <w:pPr>
        <w:pStyle w:val="TextBody"/>
        <w:spacing w:lineRule="auto" w:line="288" w:before="240" w:after="100"/>
        <w:jc w:val="both"/>
        <w:rPr>
          <w:rFonts w:ascii="Times New Roman;sans-serif" w:hAnsi="Times New Roman;sans-serif"/>
          <w:b/>
          <w:color w:val="000000"/>
          <w:sz w:val="20"/>
        </w:rPr>
      </w:pPr>
      <w:r>
        <w:rPr>
          <w:rFonts w:ascii="Times New Roman;sans-serif" w:hAnsi="Times New Roman;sans-serif"/>
          <w:b/>
          <w:color w:val="000000"/>
          <w:sz w:val="20"/>
        </w:rPr>
        <w:t>Business Segments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conduct our operations through two business segments based on the type of product and how we manage the business. We evaluate segment performance and allocate resources based on each segment’s operating income. The key operating results for our two business segments, FPD and FCD, are discussed below.</w:t>
      </w:r>
    </w:p>
    <w:p>
      <w:pPr>
        <w:pStyle w:val="TextBody"/>
        <w:spacing w:lineRule="auto" w:line="288" w:before="240" w:after="283"/>
        <w:jc w:val="both"/>
        <w:rPr>
          <w:rFonts w:ascii="Times New Roman;sans-serif" w:hAnsi="Times New Roman;sans-serif"/>
          <w:b/>
          <w:i/>
          <w:color w:val="000000"/>
          <w:sz w:val="20"/>
        </w:rPr>
      </w:pPr>
      <w:r>
        <w:rPr>
          <w:rFonts w:ascii="Times New Roman;sans-serif" w:hAnsi="Times New Roman;sans-serif"/>
          <w:b/>
          <w:i/>
          <w:color w:val="000000"/>
          <w:sz w:val="20"/>
        </w:rPr>
        <w:t xml:space="preserve">Flowserve Pump Division Segment Results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Our largest business segment is FPD, through which we design, manufacture, distribute and service highly custom engineered pumps, pre-configured industrial pumps, pump systems, mechanical seals, and auxiliary systems (collectively referred to as "original equipment") and related services. FPD primarily operates in the oil and gas, power generation, chemical and general industries. FPD operates in 49 countries with 35 manufacturing facilities worldwide, 10 of which are located in Europe, 11 in North America, eight in Asia and six in Latin America, and it operates 134 QRCs, including those co-located in manufacturing facilities and/or shared with FCD. </w:t>
      </w:r>
    </w:p>
    <w:tbl>
      <w:tblPr>
        <w:tblW w:w="7047" w:type="dxa"/>
        <w:jc w:val="left"/>
        <w:tblInd w:w="0" w:type="dxa"/>
        <w:tblCellMar>
          <w:top w:w="28" w:type="dxa"/>
          <w:left w:w="28" w:type="dxa"/>
          <w:bottom w:w="28" w:type="dxa"/>
          <w:right w:w="28" w:type="dxa"/>
        </w:tblCellMar>
      </w:tblPr>
      <w:tblGrid>
        <w:gridCol w:w="1524"/>
        <w:gridCol w:w="1341"/>
        <w:gridCol w:w="1349"/>
        <w:gridCol w:w="233"/>
        <w:gridCol w:w="680"/>
        <w:gridCol w:w="299"/>
        <w:gridCol w:w="120"/>
        <w:gridCol w:w="120"/>
        <w:gridCol w:w="120"/>
        <w:gridCol w:w="233"/>
        <w:gridCol w:w="680"/>
        <w:gridCol w:w="348"/>
      </w:tblGrid>
      <w:tr>
        <w:trPr/>
        <w:tc>
          <w:tcPr>
            <w:tcW w:w="1524" w:type="dxa"/>
            <w:tcBorders/>
            <w:shd w:fill="auto" w:val="clear"/>
            <w:vAlign w:val="center"/>
          </w:tcPr>
          <w:p>
            <w:pPr>
              <w:pStyle w:val="TableContents"/>
              <w:spacing w:before="0" w:after="283"/>
              <w:rPr>
                <w:sz w:val="4"/>
                <w:szCs w:val="4"/>
              </w:rPr>
            </w:pPr>
            <w:r>
              <w:rPr>
                <w:sz w:val="4"/>
                <w:szCs w:val="4"/>
              </w:rPr>
            </w:r>
          </w:p>
        </w:tc>
        <w:tc>
          <w:tcPr>
            <w:tcW w:w="1341" w:type="dxa"/>
            <w:tcBorders/>
            <w:shd w:fill="auto" w:val="clear"/>
            <w:vAlign w:val="center"/>
          </w:tcPr>
          <w:p>
            <w:pPr>
              <w:pStyle w:val="TableContents"/>
              <w:spacing w:before="0" w:after="283"/>
              <w:rPr>
                <w:sz w:val="4"/>
                <w:szCs w:val="4"/>
              </w:rPr>
            </w:pPr>
            <w:r>
              <w:rPr>
                <w:sz w:val="4"/>
                <w:szCs w:val="4"/>
              </w:rPr>
            </w:r>
          </w:p>
        </w:tc>
        <w:tc>
          <w:tcPr>
            <w:tcW w:w="1349"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r>
      <w:tr>
        <w:trPr/>
        <w:tc>
          <w:tcPr>
            <w:tcW w:w="421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421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 except percentages)</w:t>
            </w:r>
          </w:p>
        </w:tc>
        <w:tc>
          <w:tcPr>
            <w:tcW w:w="121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Bookings</w:t>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728.5 </w:t>
            </w:r>
          </w:p>
        </w:tc>
        <w:tc>
          <w:tcPr>
            <w:tcW w:w="29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795.6 </w:t>
            </w:r>
          </w:p>
        </w:tc>
        <w:tc>
          <w:tcPr>
            <w:tcW w:w="34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w:t>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700.1 </w:t>
            </w:r>
          </w:p>
        </w:tc>
        <w:tc>
          <w:tcPr>
            <w:tcW w:w="2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575.6 </w:t>
            </w:r>
          </w:p>
        </w:tc>
        <w:tc>
          <w:tcPr>
            <w:tcW w:w="3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w:t>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221.4 </w:t>
            </w:r>
          </w:p>
        </w:tc>
        <w:tc>
          <w:tcPr>
            <w:tcW w:w="29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156.9 </w:t>
            </w:r>
          </w:p>
        </w:tc>
        <w:tc>
          <w:tcPr>
            <w:tcW w:w="34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 margin</w:t>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31.6 </w:t>
            </w:r>
          </w:p>
        </w:tc>
        <w:tc>
          <w:tcPr>
            <w:tcW w:w="299"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27.3 </w:t>
            </w:r>
          </w:p>
        </w:tc>
        <w:tc>
          <w:tcPr>
            <w:tcW w:w="348"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SG&amp;A</w:t>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147.0 </w:t>
            </w:r>
          </w:p>
        </w:tc>
        <w:tc>
          <w:tcPr>
            <w:tcW w:w="29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139.8 </w:t>
            </w:r>
          </w:p>
        </w:tc>
        <w:tc>
          <w:tcPr>
            <w:tcW w:w="34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auto" w:val="clear"/>
            <w:vAlign w:val="center"/>
          </w:tcPr>
          <w:p>
            <w:pPr>
              <w:pStyle w:val="TableContents"/>
              <w:spacing w:before="0" w:after="283"/>
              <w:rPr>
                <w:sz w:val="4"/>
                <w:szCs w:val="4"/>
              </w:rPr>
            </w:pPr>
            <w:r>
              <w:rPr>
                <w:sz w:val="4"/>
                <w:szCs w:val="4"/>
              </w:rPr>
            </w:r>
          </w:p>
        </w:tc>
        <w:tc>
          <w:tcPr>
            <w:tcW w:w="1212" w:type="dxa"/>
            <w:gridSpan w:val="3"/>
            <w:tcBorders/>
            <w:shd w:fill="auto" w:val="clear"/>
            <w:vAlign w:val="center"/>
          </w:tcPr>
          <w:p>
            <w:pPr>
              <w:pStyle w:val="TableContents"/>
              <w:spacing w:before="0" w:after="283"/>
              <w:rPr>
                <w:sz w:val="4"/>
                <w:szCs w:val="4"/>
              </w:rPr>
            </w:pPr>
            <w:r>
              <w:rPr>
                <w:sz w:val="4"/>
                <w:szCs w:val="4"/>
              </w:rPr>
            </w:r>
          </w:p>
        </w:tc>
        <w:tc>
          <w:tcPr>
            <w:tcW w:w="360" w:type="dxa"/>
            <w:gridSpan w:val="3"/>
            <w:tcBorders/>
            <w:shd w:fill="auto" w:val="clear"/>
            <w:vAlign w:val="center"/>
          </w:tcPr>
          <w:p>
            <w:pPr>
              <w:pStyle w:val="TableContents"/>
              <w:spacing w:before="0" w:after="283"/>
              <w:rPr>
                <w:sz w:val="4"/>
                <w:szCs w:val="4"/>
              </w:rPr>
            </w:pPr>
            <w:r>
              <w:rPr>
                <w:sz w:val="4"/>
                <w:szCs w:val="4"/>
              </w:rPr>
            </w:r>
          </w:p>
        </w:tc>
        <w:tc>
          <w:tcPr>
            <w:tcW w:w="1261" w:type="dxa"/>
            <w:gridSpan w:val="3"/>
            <w:tcBorders/>
            <w:shd w:fill="auto" w:val="clear"/>
            <w:vAlign w:val="center"/>
          </w:tcPr>
          <w:p>
            <w:pPr>
              <w:pStyle w:val="TableContents"/>
              <w:spacing w:before="0" w:after="283"/>
              <w:rPr>
                <w:sz w:val="4"/>
                <w:szCs w:val="4"/>
              </w:rPr>
            </w:pPr>
            <w:r>
              <w:rPr>
                <w:sz w:val="4"/>
                <w:szCs w:val="4"/>
              </w:rPr>
            </w:r>
          </w:p>
        </w:tc>
      </w:tr>
      <w:tr>
        <w:trPr/>
        <w:tc>
          <w:tcPr>
            <w:tcW w:w="421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Segment operating income</w:t>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79.1 </w:t>
            </w:r>
          </w:p>
        </w:tc>
        <w:tc>
          <w:tcPr>
            <w:tcW w:w="2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21.0 </w:t>
            </w:r>
          </w:p>
        </w:tc>
        <w:tc>
          <w:tcPr>
            <w:tcW w:w="3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Segment operating income as a percentage of sales</w:t>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11.3 </w:t>
            </w:r>
          </w:p>
        </w:tc>
        <w:tc>
          <w:tcPr>
            <w:tcW w:w="29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3.6 </w:t>
            </w:r>
          </w:p>
        </w:tc>
        <w:tc>
          <w:tcPr>
            <w:tcW w:w="34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HorizontalLine"/>
        <w:rPr/>
      </w:pPr>
      <w:r>
        <w:rPr/>
      </w:r>
      <w:r>
        <mc:AlternateContent>
          <mc:Choice Requires="wps">
            <w:drawing>
              <wp:anchor behindDoc="0" distT="0" distB="0" distL="0" distR="0" simplePos="0" locked="0" layoutInCell="1" allowOverlap="1" relativeHeight="32">
                <wp:simplePos x="0" y="0"/>
                <wp:positionH relativeFrom="character">
                  <wp:align>left</wp:align>
                </wp:positionH>
                <wp:positionV relativeFrom="line">
                  <wp:posOffset>635</wp:posOffset>
                </wp:positionV>
                <wp:extent cx="6480175" cy="351155"/>
                <wp:effectExtent l="0" t="0" r="0" b="0"/>
                <wp:wrapNone/>
                <wp:docPr id="31" name="Frame3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25</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before="0" w:after="0"/>
        <w:jc w:val="both"/>
        <w:rPr/>
      </w:pPr>
      <w:r>
        <w:rPr/>
      </w:r>
    </w:p>
    <w:p>
      <w:pPr>
        <w:pStyle w:val="TextBody"/>
        <w:spacing w:lineRule="auto" w:line="288" w:before="0" w:after="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Bookings for the three months ended March 31, 2023 decreased by $67.1 million, or 8.4%, as compared with the same period in 2022. The decrease included negative currency effects of approximately $15 million. The decrease in customer bookings was driven by decreased customer orders in the oil and gas, power generation and water management industries, partially offset by increased customer orders in the chemical and general industries. Customer bookings decreased $31.5 million into the Middle East, $76.4 million into Europe and $20.4 million into Asia Pacific and were partially offset by increased customer orders of $33.0 million into North America, $6.8 million into Latin America and $12.2 million into Africa. The decrease was driven by original equipment bookings.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Sales for the three months ended March 31, 2023 increased by $124.5 million, or 21.6% as compared with the same period in 2022 an</w:t>
      </w:r>
      <w:r>
        <w:rPr>
          <w:rFonts w:ascii="Times New Roman;sans-serif" w:hAnsi="Times New Roman;sans-serif"/>
          <w:b w:val="false"/>
          <w:color w:val="000000"/>
          <w:sz w:val="20"/>
        </w:rPr>
        <w:t xml:space="preserve">d included negative currency effects of approximately $16 million. </w:t>
      </w:r>
      <w:r>
        <w:rPr>
          <w:rFonts w:ascii="Times New Roman;sans-serif" w:hAnsi="Times New Roman;sans-serif"/>
          <w:b w:val="false"/>
          <w:color w:val="000000"/>
          <w:sz w:val="20"/>
          <w:highlight w:val="white"/>
        </w:rPr>
        <w:t>The</w:t>
      </w:r>
      <w:r>
        <w:rPr>
          <w:color w:val="000000"/>
        </w:rPr>
        <w:t xml:space="preserve"> </w:t>
      </w:r>
      <w:r>
        <w:rPr>
          <w:rFonts w:ascii="Times New Roman;sans-serif" w:hAnsi="Times New Roman;sans-serif"/>
          <w:b w:val="false"/>
          <w:color w:val="000000"/>
          <w:sz w:val="20"/>
        </w:rPr>
        <w:t xml:space="preserve">increase </w:t>
      </w:r>
      <w:r>
        <w:rPr>
          <w:rFonts w:ascii="Times New Roman;sans-serif" w:hAnsi="Times New Roman;sans-serif"/>
          <w:b w:val="false"/>
          <w:color w:val="000000"/>
          <w:sz w:val="20"/>
          <w:highlight w:val="white"/>
        </w:rPr>
        <w:t xml:space="preserve">was driven by both aftermarket and </w:t>
      </w:r>
      <w:r>
        <w:rPr>
          <w:rFonts w:ascii="Times New Roman;sans-serif" w:hAnsi="Times New Roman;sans-serif"/>
          <w:b w:val="false"/>
          <w:color w:val="000000"/>
          <w:sz w:val="20"/>
        </w:rPr>
        <w:t>original equipment customer sa</w:t>
      </w:r>
      <w:r>
        <w:rPr>
          <w:rFonts w:ascii="Times New Roman;sans-serif" w:hAnsi="Times New Roman;sans-serif"/>
          <w:b w:val="false"/>
          <w:color w:val="000000"/>
          <w:sz w:val="20"/>
          <w:highlight w:val="white"/>
        </w:rPr>
        <w:t xml:space="preserve">les. </w:t>
      </w:r>
      <w:r>
        <w:rPr>
          <w:rFonts w:ascii="Times New Roman;sans-serif" w:hAnsi="Times New Roman;sans-serif"/>
          <w:b w:val="false"/>
          <w:color w:val="000000"/>
          <w:sz w:val="20"/>
        </w:rPr>
        <w:t xml:space="preserve">Increased customer sales of $12.1 million into Asia Pacific, $11.5 million into Europe, $44.5 million into North America, $46.1 million into the Middle East and $16.6 million into Latin America were partially offset by decreased sales of $3.1 million into Africa.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Gross profit for the three months ended March 31, 2023</w:t>
      </w:r>
      <w:r>
        <w:rPr>
          <w:color w:val="000000"/>
        </w:rPr>
        <w:t xml:space="preserve"> </w:t>
      </w:r>
      <w:r>
        <w:rPr>
          <w:rFonts w:ascii="Times New Roman;sans-serif" w:hAnsi="Times New Roman;sans-serif"/>
          <w:b w:val="false"/>
          <w:color w:val="000000"/>
          <w:sz w:val="20"/>
        </w:rPr>
        <w:t>increased by $64.5 million, or 41.1%, as compared with the same period in 2022. Gross profit margin for the three months ended March 31, 2023 of 31.6% increased from 27.3% for the same period in 2022. The increase in gross profit margin was primarily due to the favorable impact of previously implemented sales price increases, higher sales volume and favorable original equipment mix, lower supply chain inflationary pressure and a $3.5 million charge taken in the first quarter of 2022 related to our financial exposure in Russia that did not recur, partially offset by higher broad-based annual incentive compensation and a mix shift away from higher margin aftermarket sales as compared to the same period in 2022.</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SG&amp;A for the three months ended March 31, 2023 increased by $7.2 million, or 5.2%, as compared with the same period in 2022. Currency effects provided a decrease of approximately $3 million. The increase in SG&amp;A was primarily due to higher broad-based annual incentive compensation, increased charges related to our Realignment Programs, $2.9 million write-down of an impaired licensing intangible and a $2.1 million increase in research and development costs, partially offset by a $9.1 million charge taken in the first quarter of 2022 related to our financial exposure in Russia that did not recur as compared to the same period in 2022.</w:t>
      </w:r>
    </w:p>
    <w:p>
      <w:pPr>
        <w:pStyle w:val="TextBody"/>
        <w:spacing w:lineRule="auto" w:line="288" w:before="120" w:after="283"/>
        <w:ind w:left="0" w:right="0" w:firstLine="360"/>
        <w:jc w:val="both"/>
        <w:rPr/>
      </w:pPr>
      <w:r>
        <w:rPr>
          <w:rFonts w:ascii="Times New Roman;sans-serif" w:hAnsi="Times New Roman;sans-serif"/>
          <w:b w:val="false"/>
          <w:color w:val="000000"/>
          <w:sz w:val="20"/>
        </w:rPr>
        <w:t>Operating income for the three months ended March 31, 2023 increased by $58.1 million, or 276.7%, as compared with the same period in 2022. The increase included negative currency effects of approximately $6 million.</w:t>
      </w:r>
      <w:r>
        <w:rPr>
          <w:color w:val="000000"/>
          <w:highlight w:val="white"/>
        </w:rPr>
        <w:t xml:space="preserve"> </w:t>
      </w:r>
      <w:r>
        <w:rPr>
          <w:rFonts w:ascii="Times New Roman;sans-serif" w:hAnsi="Times New Roman;sans-serif"/>
          <w:b w:val="false"/>
          <w:color w:val="000000"/>
          <w:sz w:val="20"/>
          <w:highlight w:val="white"/>
        </w:rPr>
        <w:t>The</w:t>
      </w:r>
      <w:r>
        <w:rPr>
          <w:color w:val="000000"/>
        </w:rPr>
        <w:t xml:space="preserve"> </w:t>
      </w:r>
      <w:r>
        <w:rPr>
          <w:rFonts w:ascii="Times New Roman;sans-serif" w:hAnsi="Times New Roman;sans-serif"/>
          <w:b w:val="false"/>
          <w:color w:val="000000"/>
          <w:sz w:val="20"/>
        </w:rPr>
        <w:t>increase w</w:t>
      </w:r>
      <w:r>
        <w:rPr>
          <w:rFonts w:ascii="Times New Roman;sans-serif" w:hAnsi="Times New Roman;sans-serif"/>
          <w:b w:val="false"/>
          <w:color w:val="000000"/>
          <w:sz w:val="20"/>
          <w:highlight w:val="white"/>
        </w:rPr>
        <w:t xml:space="preserve">as primarily due to the </w:t>
      </w:r>
      <w:r>
        <w:rPr>
          <w:rFonts w:ascii="Times New Roman;sans-serif" w:hAnsi="Times New Roman;sans-serif"/>
          <w:b w:val="false"/>
          <w:color w:val="000000"/>
          <w:sz w:val="20"/>
        </w:rPr>
        <w:t>$64.5 million increase</w:t>
      </w:r>
      <w:r>
        <w:rPr>
          <w:color w:val="000000"/>
          <w:highlight w:val="white"/>
        </w:rPr>
        <w:t xml:space="preserve"> </w:t>
      </w:r>
      <w:r>
        <w:rPr>
          <w:rFonts w:ascii="Times New Roman;sans-serif" w:hAnsi="Times New Roman;sans-serif"/>
          <w:b w:val="false"/>
          <w:color w:val="000000"/>
          <w:sz w:val="20"/>
          <w:highlight w:val="white"/>
        </w:rPr>
        <w:t xml:space="preserve">in gross profit partially offset by </w:t>
      </w:r>
      <w:r>
        <w:rPr>
          <w:rFonts w:ascii="Times New Roman;sans-serif" w:hAnsi="Times New Roman;sans-serif"/>
          <w:b w:val="false"/>
          <w:color w:val="000000"/>
          <w:sz w:val="20"/>
        </w:rPr>
        <w:t>the $7.2 million increase in SG&amp;A.</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Backlog of $2,028.5 million at March 31, 2023 increased by $19.6 million, or </w:t>
      </w:r>
      <w:r>
        <w:rPr>
          <w:rFonts w:ascii="Times New Roman;sans-serif" w:hAnsi="Times New Roman;sans-serif"/>
          <w:b w:val="false"/>
          <w:color w:val="000000"/>
          <w:sz w:val="20"/>
          <w:highlight w:val="white"/>
        </w:rPr>
        <w:t>1.0%, as compared with December 31, 2022</w:t>
      </w:r>
      <w:r>
        <w:rPr>
          <w:rFonts w:ascii="Times New Roman;sans-serif" w:hAnsi="Times New Roman;sans-serif"/>
          <w:b w:val="false"/>
          <w:color w:val="000000"/>
          <w:sz w:val="20"/>
        </w:rPr>
        <w:t xml:space="preserve">. </w:t>
      </w:r>
      <w:r>
        <w:rPr>
          <w:rFonts w:ascii="Times New Roman;sans-serif" w:hAnsi="Times New Roman;sans-serif"/>
          <w:b w:val="false"/>
          <w:color w:val="000000"/>
          <w:sz w:val="20"/>
          <w:highlight w:val="white"/>
        </w:rPr>
        <w:t>Currency effects provi</w:t>
      </w:r>
      <w:r>
        <w:rPr>
          <w:rFonts w:ascii="Times New Roman;sans-serif" w:hAnsi="Times New Roman;sans-serif"/>
          <w:b w:val="false"/>
          <w:color w:val="000000"/>
          <w:sz w:val="20"/>
        </w:rPr>
        <w:t>ded an increase of approximately $15 million</w:t>
      </w:r>
      <w:r>
        <w:rPr>
          <w:rFonts w:ascii="Times New Roman;sans-serif" w:hAnsi="Times New Roman;sans-serif"/>
          <w:b w:val="false"/>
          <w:color w:val="000000"/>
          <w:sz w:val="20"/>
          <w:highlight w:val="white"/>
        </w:rPr>
        <w:t xml:space="preserve">. </w:t>
      </w:r>
    </w:p>
    <w:p>
      <w:pPr>
        <w:pStyle w:val="TextBody"/>
        <w:spacing w:lineRule="auto" w:line="288" w:before="240" w:after="100"/>
        <w:jc w:val="both"/>
        <w:rPr>
          <w:rFonts w:ascii="Times New Roman;sans-serif" w:hAnsi="Times New Roman;sans-serif"/>
          <w:b/>
          <w:i/>
          <w:color w:val="000000"/>
          <w:sz w:val="20"/>
        </w:rPr>
      </w:pPr>
      <w:r>
        <w:rPr>
          <w:rFonts w:ascii="Times New Roman;sans-serif" w:hAnsi="Times New Roman;sans-serif"/>
          <w:b/>
          <w:i/>
          <w:color w:val="000000"/>
          <w:sz w:val="20"/>
        </w:rPr>
        <w:t xml:space="preserve">Flow Control Division Segment Results </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FCD designs, manufactures and distributes a broad portfolio of </w:t>
      </w:r>
      <w:r>
        <w:rPr>
          <w:rFonts w:ascii="Times New Roman;sans-serif" w:hAnsi="Times New Roman;sans-serif"/>
          <w:b w:val="false"/>
          <w:color w:val="000000"/>
          <w:sz w:val="20"/>
          <w:highlight w:val="white"/>
        </w:rPr>
        <w:t xml:space="preserve">engineered-to-order and configured-to-order isolation valves, control valves, valve automation </w:t>
      </w:r>
      <w:r>
        <w:rPr>
          <w:rFonts w:ascii="Times New Roman;sans-serif" w:hAnsi="Times New Roman;sans-serif"/>
          <w:b w:val="false"/>
          <w:color w:val="000000"/>
          <w:sz w:val="20"/>
        </w:rPr>
        <w:t>products and related equipment. FCD leverages its experience and application know-how by offering a complete menu of engineered services to complement its expansive product portfolio. FCD has a total of 44 manufacturing facilities and QRCs in 22 countries around the world, with five of its 19 manufacturing operations located in the U.S., eight located in Europe, five located in Asia Pacific and one located in Latin America. Based on independent industry sources, we believe that FCD is the second largest industrial valve supplier on a g</w:t>
      </w:r>
      <w:r>
        <w:rPr>
          <w:rFonts w:ascii="Times New Roman;sans-serif" w:hAnsi="Times New Roman;sans-serif"/>
          <w:b w:val="false"/>
          <w:color w:val="000000"/>
          <w:sz w:val="20"/>
          <w:highlight w:val="white"/>
        </w:rPr>
        <w:t xml:space="preserve">lobal basis. </w:t>
      </w:r>
    </w:p>
    <w:tbl>
      <w:tblPr>
        <w:tblW w:w="7047" w:type="dxa"/>
        <w:jc w:val="left"/>
        <w:tblInd w:w="0" w:type="dxa"/>
        <w:tblCellMar>
          <w:top w:w="28" w:type="dxa"/>
          <w:left w:w="28" w:type="dxa"/>
          <w:bottom w:w="28" w:type="dxa"/>
          <w:right w:w="28" w:type="dxa"/>
        </w:tblCellMar>
      </w:tblPr>
      <w:tblGrid>
        <w:gridCol w:w="1524"/>
        <w:gridCol w:w="1341"/>
        <w:gridCol w:w="1349"/>
        <w:gridCol w:w="233"/>
        <w:gridCol w:w="680"/>
        <w:gridCol w:w="299"/>
        <w:gridCol w:w="120"/>
        <w:gridCol w:w="120"/>
        <w:gridCol w:w="120"/>
        <w:gridCol w:w="233"/>
        <w:gridCol w:w="680"/>
        <w:gridCol w:w="348"/>
      </w:tblGrid>
      <w:tr>
        <w:trPr/>
        <w:tc>
          <w:tcPr>
            <w:tcW w:w="1524" w:type="dxa"/>
            <w:tcBorders/>
            <w:shd w:fill="auto" w:val="clear"/>
            <w:vAlign w:val="center"/>
          </w:tcPr>
          <w:p>
            <w:pPr>
              <w:pStyle w:val="TableContents"/>
              <w:spacing w:before="0" w:after="283"/>
              <w:rPr>
                <w:sz w:val="4"/>
                <w:szCs w:val="4"/>
              </w:rPr>
            </w:pPr>
            <w:r>
              <w:rPr>
                <w:sz w:val="4"/>
                <w:szCs w:val="4"/>
              </w:rPr>
            </w:r>
          </w:p>
        </w:tc>
        <w:tc>
          <w:tcPr>
            <w:tcW w:w="1341" w:type="dxa"/>
            <w:tcBorders/>
            <w:shd w:fill="auto" w:val="clear"/>
            <w:vAlign w:val="center"/>
          </w:tcPr>
          <w:p>
            <w:pPr>
              <w:pStyle w:val="TableContents"/>
              <w:spacing w:before="0" w:after="283"/>
              <w:rPr>
                <w:sz w:val="4"/>
                <w:szCs w:val="4"/>
              </w:rPr>
            </w:pPr>
            <w:r>
              <w:rPr>
                <w:sz w:val="4"/>
                <w:szCs w:val="4"/>
              </w:rPr>
            </w:r>
          </w:p>
        </w:tc>
        <w:tc>
          <w:tcPr>
            <w:tcW w:w="1349"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r>
      <w:tr>
        <w:trPr/>
        <w:tc>
          <w:tcPr>
            <w:tcW w:w="421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3"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421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 except percentages)</w:t>
            </w:r>
          </w:p>
        </w:tc>
        <w:tc>
          <w:tcPr>
            <w:tcW w:w="121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36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Bookings</w:t>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332.0 </w:t>
            </w:r>
          </w:p>
        </w:tc>
        <w:tc>
          <w:tcPr>
            <w:tcW w:w="29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294.3 </w:t>
            </w:r>
          </w:p>
        </w:tc>
        <w:tc>
          <w:tcPr>
            <w:tcW w:w="34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Sales</w:t>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281.6 </w:t>
            </w:r>
          </w:p>
        </w:tc>
        <w:tc>
          <w:tcPr>
            <w:tcW w:w="2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247.9 </w:t>
            </w:r>
          </w:p>
        </w:tc>
        <w:tc>
          <w:tcPr>
            <w:tcW w:w="3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w:t>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80.3 </w:t>
            </w:r>
          </w:p>
        </w:tc>
        <w:tc>
          <w:tcPr>
            <w:tcW w:w="29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59.5 </w:t>
            </w:r>
          </w:p>
        </w:tc>
        <w:tc>
          <w:tcPr>
            <w:tcW w:w="34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Gross profit margin</w:t>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28.5 </w:t>
            </w:r>
          </w:p>
        </w:tc>
        <w:tc>
          <w:tcPr>
            <w:tcW w:w="299"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24.0 </w:t>
            </w:r>
          </w:p>
        </w:tc>
        <w:tc>
          <w:tcPr>
            <w:tcW w:w="348"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SG&amp;A</w:t>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61.8 </w:t>
            </w:r>
          </w:p>
        </w:tc>
        <w:tc>
          <w:tcPr>
            <w:tcW w:w="29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44.3 </w:t>
            </w:r>
          </w:p>
        </w:tc>
        <w:tc>
          <w:tcPr>
            <w:tcW w:w="348"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auto" w:val="clear"/>
            <w:vAlign w:val="center"/>
          </w:tcPr>
          <w:p>
            <w:pPr>
              <w:pStyle w:val="TableContents"/>
              <w:spacing w:before="0" w:after="283"/>
              <w:rPr>
                <w:sz w:val="4"/>
                <w:szCs w:val="4"/>
              </w:rPr>
            </w:pPr>
            <w:r>
              <w:rPr>
                <w:sz w:val="4"/>
                <w:szCs w:val="4"/>
              </w:rPr>
            </w:r>
          </w:p>
        </w:tc>
        <w:tc>
          <w:tcPr>
            <w:tcW w:w="1212" w:type="dxa"/>
            <w:gridSpan w:val="3"/>
            <w:tcBorders/>
            <w:shd w:fill="auto" w:val="clear"/>
            <w:vAlign w:val="center"/>
          </w:tcPr>
          <w:p>
            <w:pPr>
              <w:pStyle w:val="TableContents"/>
              <w:spacing w:before="0" w:after="283"/>
              <w:rPr>
                <w:sz w:val="4"/>
                <w:szCs w:val="4"/>
              </w:rPr>
            </w:pPr>
            <w:r>
              <w:rPr>
                <w:sz w:val="4"/>
                <w:szCs w:val="4"/>
              </w:rPr>
            </w:r>
          </w:p>
        </w:tc>
        <w:tc>
          <w:tcPr>
            <w:tcW w:w="360" w:type="dxa"/>
            <w:gridSpan w:val="3"/>
            <w:tcBorders/>
            <w:shd w:fill="auto" w:val="clear"/>
            <w:vAlign w:val="center"/>
          </w:tcPr>
          <w:p>
            <w:pPr>
              <w:pStyle w:val="TableContents"/>
              <w:spacing w:before="0" w:after="283"/>
              <w:rPr>
                <w:sz w:val="4"/>
                <w:szCs w:val="4"/>
              </w:rPr>
            </w:pPr>
            <w:r>
              <w:rPr>
                <w:sz w:val="4"/>
                <w:szCs w:val="4"/>
              </w:rPr>
            </w:r>
          </w:p>
        </w:tc>
        <w:tc>
          <w:tcPr>
            <w:tcW w:w="1261" w:type="dxa"/>
            <w:gridSpan w:val="3"/>
            <w:tcBorders/>
            <w:shd w:fill="auto" w:val="clear"/>
            <w:vAlign w:val="center"/>
          </w:tcPr>
          <w:p>
            <w:pPr>
              <w:pStyle w:val="TableContents"/>
              <w:spacing w:before="0" w:after="283"/>
              <w:rPr>
                <w:sz w:val="4"/>
                <w:szCs w:val="4"/>
              </w:rPr>
            </w:pPr>
            <w:r>
              <w:rPr>
                <w:sz w:val="4"/>
                <w:szCs w:val="4"/>
              </w:rPr>
            </w:r>
          </w:p>
        </w:tc>
      </w:tr>
      <w:tr>
        <w:trPr/>
        <w:tc>
          <w:tcPr>
            <w:tcW w:w="421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Segment operating income</w:t>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18.5 </w:t>
            </w:r>
          </w:p>
        </w:tc>
        <w:tc>
          <w:tcPr>
            <w:tcW w:w="29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15.2 </w:t>
            </w:r>
          </w:p>
        </w:tc>
        <w:tc>
          <w:tcPr>
            <w:tcW w:w="348"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1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Segment operating income as a percentage of sales</w:t>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6.6 </w:t>
            </w:r>
          </w:p>
        </w:tc>
        <w:tc>
          <w:tcPr>
            <w:tcW w:w="29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6.1 </w:t>
            </w:r>
          </w:p>
        </w:tc>
        <w:tc>
          <w:tcPr>
            <w:tcW w:w="348"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r>
    </w:tbl>
    <w:tbl>
      <w:tblPr>
        <w:tblW w:w="714" w:type="dxa"/>
        <w:jc w:val="left"/>
        <w:tblInd w:w="0" w:type="dxa"/>
        <w:tblCellMar>
          <w:top w:w="28" w:type="dxa"/>
          <w:left w:w="28" w:type="dxa"/>
          <w:bottom w:w="28" w:type="dxa"/>
          <w:right w:w="28" w:type="dxa"/>
        </w:tblCellMar>
      </w:tblPr>
      <w:tblGrid>
        <w:gridCol w:w="124"/>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Bookings for the three months ended March 31, 2023 increased by $37.7 million, or 12.8%, as compared with the same period in 2022. Bookings included negative currency effects of approximately $9 million. The increase in customer bookings was primarily driven by increased customer orders in the oil and gas, water management, power generation and general </w:t>
      </w:r>
    </w:p>
    <w:p>
      <w:pPr>
        <w:pStyle w:val="HorizontalLine"/>
        <w:rPr/>
      </w:pPr>
      <w:r>
        <w:rPr/>
      </w:r>
      <w:r>
        <mc:AlternateContent>
          <mc:Choice Requires="wps">
            <w:drawing>
              <wp:anchor behindDoc="0" distT="0" distB="0" distL="0" distR="0" simplePos="0" locked="0" layoutInCell="1" allowOverlap="1" relativeHeight="33">
                <wp:simplePos x="0" y="0"/>
                <wp:positionH relativeFrom="character">
                  <wp:align>left</wp:align>
                </wp:positionH>
                <wp:positionV relativeFrom="line">
                  <wp:posOffset>635</wp:posOffset>
                </wp:positionV>
                <wp:extent cx="6480175" cy="351155"/>
                <wp:effectExtent l="0" t="0" r="0" b="0"/>
                <wp:wrapNone/>
                <wp:docPr id="32" name="Frame3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26</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industries, partially offset by decreased customer orders in the chemical industry. Increased customer bookings were driven by increased orders of $20.4 million into North America and $35.8 million into the Middle East, partially offset by decreased orders of $15.8 million into Asia Pacific, $0.2 million into Africa, $4.9 million into Europe and $0.9 million into Latin America. The increase was primarily driven by customer original equipment bookings.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Sales for the three months ended March 31, 2023 increased $33.7 million, or 13.6%, as compared with the same period in 2022. The increase included negative currency effects of approximately $8 million. Increased customer sales were more heavily weighted towards customer original equipment sales. The increase was primarily driven by increased customer sales of $18.0 million into North America, $2.9 million into Africa, $4.1 million into the Middle East, $6.3 million into Europe and $2.3 million into Latin America.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Gross profit for the three months ended March 31, 2023 increased by $20.8 million, or 35.0%, as compared with the same period in 2022. Gross profit margin for the three months ended March 31, 2023 of 28.5% increased from the 24.0% for the same period in 2022. The increase in gross profit margin was primarily due to the favorable impact of previously implemented sales price increases, higher sales volume and favorable original equipment mix, lower supply chain inflationary pressure and a $1.1 million charge taken in the first quarter of 2022 related to our financial exposure in Russia that did not recur, partially offset by higher broad-based annual incentive compensation and a mix shift away from higher margin aftermarket sales as compared to the same period in 2022.</w:t>
      </w:r>
    </w:p>
    <w:p>
      <w:pPr>
        <w:pStyle w:val="TextBody"/>
        <w:spacing w:lineRule="auto" w:line="288" w:before="120" w:after="283"/>
        <w:ind w:left="0" w:right="0" w:firstLine="360"/>
        <w:jc w:val="both"/>
        <w:rPr/>
      </w:pPr>
      <w:r>
        <w:rPr>
          <w:rFonts w:ascii="Times New Roman;sans-serif" w:hAnsi="Times New Roman;sans-serif"/>
          <w:b w:val="false"/>
          <w:color w:val="000000"/>
          <w:sz w:val="20"/>
        </w:rPr>
        <w:t>SG&amp;A for the three months ended March 31, 2023 increased by $17.5 million, or 39.5%</w:t>
      </w:r>
      <w:r>
        <w:rPr>
          <w:rFonts w:ascii="Times New Roman;sans-serif" w:hAnsi="Times New Roman;sans-serif"/>
          <w:b w:val="false"/>
          <w:color w:val="000000"/>
          <w:sz w:val="20"/>
          <w:highlight w:val="white"/>
        </w:rPr>
        <w:t>, as co</w:t>
      </w:r>
      <w:r>
        <w:rPr>
          <w:rFonts w:ascii="Times New Roman;sans-serif" w:hAnsi="Times New Roman;sans-serif"/>
          <w:b w:val="false"/>
          <w:color w:val="000000"/>
          <w:sz w:val="20"/>
        </w:rPr>
        <w:t>mpared with the same period in 2022. Currency effects provided a decrease of approximately $1 million.</w:t>
      </w:r>
      <w:r>
        <w:rPr>
          <w:color w:val="000000"/>
          <w:highlight w:val="white"/>
        </w:rPr>
        <w:t xml:space="preserve"> </w:t>
      </w:r>
      <w:r>
        <w:rPr>
          <w:rFonts w:ascii="Times New Roman;sans-serif" w:hAnsi="Times New Roman;sans-serif"/>
          <w:b w:val="false"/>
          <w:color w:val="000000"/>
          <w:sz w:val="20"/>
          <w:highlight w:val="white"/>
        </w:rPr>
        <w:t>The</w:t>
      </w:r>
      <w:r>
        <w:rPr>
          <w:color w:val="000000"/>
        </w:rPr>
        <w:t xml:space="preserve"> </w:t>
      </w:r>
      <w:r>
        <w:rPr>
          <w:rFonts w:ascii="Times New Roman;sans-serif" w:hAnsi="Times New Roman;sans-serif"/>
          <w:b w:val="false"/>
          <w:color w:val="000000"/>
          <w:sz w:val="20"/>
        </w:rPr>
        <w:t>increase</w:t>
      </w:r>
      <w:r>
        <w:rPr>
          <w:color w:val="000000"/>
          <w:highlight w:val="white"/>
        </w:rPr>
        <w:t xml:space="preserve"> </w:t>
      </w:r>
      <w:r>
        <w:rPr>
          <w:rFonts w:ascii="Times New Roman;sans-serif" w:hAnsi="Times New Roman;sans-serif"/>
          <w:b w:val="false"/>
          <w:color w:val="000000"/>
          <w:sz w:val="20"/>
        </w:rPr>
        <w:t>in SG&amp;A was primarily due to higher broad-based annual incentive compensation, increased charges related to our Realignment Programs and $3.1 million of expense related to the pending acquisition of Velan Inc., partially offset by a $1.1 million charge taken in the first quarter of 2022 related to our financial exposure in Russia that did not recur as compared to the same period in 2022.</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Operating income for the three months ended March 31, 2023 increased by $3.3 million, or 21.7%, as compared with the same period in 2022. The increase included negative currency effects of approximately $1 million. The increase was primarily due to the $20.8 million increase in gross profit partially offset by the $17.5 million increase in SG&amp;A.</w:t>
      </w:r>
    </w:p>
    <w:p>
      <w:pPr>
        <w:pStyle w:val="TextBody"/>
        <w:spacing w:lineRule="auto" w:line="288" w:before="120" w:after="283"/>
        <w:ind w:left="0" w:right="0" w:firstLine="360"/>
        <w:jc w:val="both"/>
        <w:rPr/>
      </w:pPr>
      <w:r>
        <w:rPr>
          <w:rFonts w:ascii="Times New Roman;sans-serif" w:hAnsi="Times New Roman;sans-serif"/>
          <w:b w:val="false"/>
          <w:color w:val="000000"/>
          <w:sz w:val="20"/>
        </w:rPr>
        <w:t>Backlog of $795.1 million at March 31, 2023 increased by $49.6 million, or 6.7%, as compared with December 31, 2022</w:t>
      </w:r>
      <w:r>
        <w:rPr>
          <w:rFonts w:ascii="Times New Roman;sans-serif" w:hAnsi="Times New Roman;sans-serif"/>
          <w:b w:val="false"/>
          <w:color w:val="000000"/>
          <w:sz w:val="20"/>
          <w:highlight w:val="white"/>
        </w:rPr>
        <w:t xml:space="preserve">. </w:t>
      </w:r>
      <w:r>
        <w:rPr>
          <w:rFonts w:ascii="Times New Roman;sans-serif" w:hAnsi="Times New Roman;sans-serif"/>
          <w:b w:val="false"/>
          <w:color w:val="000000"/>
          <w:sz w:val="20"/>
        </w:rPr>
        <w:t>Currency effects provided an increase of approximately $4 million</w:t>
      </w:r>
      <w:r>
        <w:rPr>
          <w:rFonts w:ascii="Times New Roman;sans-serif" w:hAnsi="Times New Roman;sans-serif"/>
          <w:b w:val="false"/>
          <w:color w:val="000000"/>
          <w:sz w:val="20"/>
          <w:highlight w:val="white"/>
        </w:rPr>
        <w:t>.</w:t>
      </w:r>
    </w:p>
    <w:p>
      <w:pPr>
        <w:pStyle w:val="TextBody"/>
        <w:spacing w:before="120" w:after="283"/>
        <w:ind w:left="0" w:right="0" w:firstLine="36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100"/>
        <w:jc w:val="both"/>
        <w:rPr>
          <w:rFonts w:ascii="Times New Roman;sans-serif" w:hAnsi="Times New Roman;sans-serif"/>
          <w:b/>
          <w:color w:val="000000"/>
          <w:sz w:val="20"/>
        </w:rPr>
      </w:pPr>
      <w:r>
        <w:rPr>
          <w:rFonts w:ascii="Times New Roman;sans-serif" w:hAnsi="Times New Roman;sans-serif"/>
          <w:b/>
          <w:color w:val="000000"/>
          <w:sz w:val="20"/>
        </w:rPr>
        <w:t xml:space="preserve">LIQUIDITY AND CAPITAL RESOURCES </w:t>
      </w:r>
    </w:p>
    <w:p>
      <w:pPr>
        <w:pStyle w:val="TextBody"/>
        <w:spacing w:lineRule="auto" w:line="288" w:before="120" w:after="100"/>
        <w:jc w:val="both"/>
        <w:rPr>
          <w:rFonts w:ascii="Times New Roman;sans-serif" w:hAnsi="Times New Roman;sans-serif"/>
          <w:b/>
          <w:i/>
          <w:color w:val="000000"/>
          <w:sz w:val="20"/>
        </w:rPr>
      </w:pPr>
      <w:r>
        <w:rPr>
          <w:rFonts w:ascii="Times New Roman;sans-serif" w:hAnsi="Times New Roman;sans-serif"/>
          <w:b/>
          <w:i/>
          <w:color w:val="000000"/>
          <w:sz w:val="20"/>
        </w:rPr>
        <w:t>Cash Flow and Liquidity Analysis</w:t>
      </w:r>
    </w:p>
    <w:tbl>
      <w:tblPr>
        <w:tblW w:w="7316" w:type="dxa"/>
        <w:jc w:val="left"/>
        <w:tblInd w:w="0" w:type="dxa"/>
        <w:tblCellMar>
          <w:top w:w="28" w:type="dxa"/>
          <w:left w:w="28" w:type="dxa"/>
          <w:bottom w:w="28" w:type="dxa"/>
          <w:right w:w="28" w:type="dxa"/>
        </w:tblCellMar>
      </w:tblPr>
      <w:tblGrid>
        <w:gridCol w:w="1625"/>
        <w:gridCol w:w="1425"/>
        <w:gridCol w:w="1434"/>
        <w:gridCol w:w="283"/>
        <w:gridCol w:w="687"/>
        <w:gridCol w:w="146"/>
        <w:gridCol w:w="146"/>
        <w:gridCol w:w="146"/>
        <w:gridCol w:w="146"/>
        <w:gridCol w:w="283"/>
        <w:gridCol w:w="788"/>
        <w:gridCol w:w="207"/>
      </w:tblGrid>
      <w:tr>
        <w:trPr/>
        <w:tc>
          <w:tcPr>
            <w:tcW w:w="1625" w:type="dxa"/>
            <w:tcBorders/>
            <w:shd w:fill="auto" w:val="clear"/>
            <w:vAlign w:val="center"/>
          </w:tcPr>
          <w:p>
            <w:pPr>
              <w:pStyle w:val="TableContents"/>
              <w:spacing w:before="0" w:after="283"/>
              <w:rPr>
                <w:sz w:val="4"/>
                <w:szCs w:val="4"/>
              </w:rPr>
            </w:pPr>
            <w:r>
              <w:rPr>
                <w:sz w:val="4"/>
                <w:szCs w:val="4"/>
              </w:rPr>
            </w:r>
          </w:p>
        </w:tc>
        <w:tc>
          <w:tcPr>
            <w:tcW w:w="1425" w:type="dxa"/>
            <w:tcBorders/>
            <w:shd w:fill="auto" w:val="clear"/>
            <w:vAlign w:val="center"/>
          </w:tcPr>
          <w:p>
            <w:pPr>
              <w:pStyle w:val="TableContents"/>
              <w:spacing w:before="0" w:after="283"/>
              <w:rPr>
                <w:sz w:val="4"/>
                <w:szCs w:val="4"/>
              </w:rPr>
            </w:pPr>
            <w:r>
              <w:rPr>
                <w:sz w:val="4"/>
                <w:szCs w:val="4"/>
              </w:rPr>
            </w:r>
          </w:p>
        </w:tc>
        <w:tc>
          <w:tcPr>
            <w:tcW w:w="1434"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687"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r>
      <w:tr>
        <w:trPr/>
        <w:tc>
          <w:tcPr>
            <w:tcW w:w="44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832"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Three Months Ended March 31,</w:t>
            </w:r>
          </w:p>
        </w:tc>
      </w:tr>
      <w:tr>
        <w:trPr/>
        <w:tc>
          <w:tcPr>
            <w:tcW w:w="44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(Amounts in millions)</w:t>
            </w:r>
          </w:p>
        </w:tc>
        <w:tc>
          <w:tcPr>
            <w:tcW w:w="111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2023</w:t>
            </w:r>
          </w:p>
        </w:tc>
        <w:tc>
          <w:tcPr>
            <w:tcW w:w="43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7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r>
      <w:tr>
        <w:trPr/>
        <w:tc>
          <w:tcPr>
            <w:tcW w:w="44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cash flows provided (used) by operating activities</w:t>
            </w:r>
          </w:p>
        </w:tc>
        <w:tc>
          <w:tcPr>
            <w:tcW w:w="28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8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26.6 </w:t>
            </w:r>
          </w:p>
        </w:tc>
        <w:tc>
          <w:tcPr>
            <w:tcW w:w="1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3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8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(26.8)</w:t>
            </w:r>
          </w:p>
        </w:tc>
        <w:tc>
          <w:tcPr>
            <w:tcW w:w="20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cash flows provided (used) by investing activities</w:t>
            </w:r>
          </w:p>
        </w:tc>
        <w:tc>
          <w:tcPr>
            <w:tcW w:w="97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(16.5)</w:t>
            </w:r>
          </w:p>
        </w:tc>
        <w:tc>
          <w:tcPr>
            <w:tcW w:w="14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7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(12.2)</w:t>
            </w:r>
          </w:p>
        </w:tc>
        <w:tc>
          <w:tcPr>
            <w:tcW w:w="20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cash flows provided (used) by financing activities</w:t>
            </w:r>
          </w:p>
        </w:tc>
        <w:tc>
          <w:tcPr>
            <w:tcW w:w="97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(43.8)</w:t>
            </w:r>
          </w:p>
        </w:tc>
        <w:tc>
          <w:tcPr>
            <w:tcW w:w="14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7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(38.4)</w:t>
            </w:r>
          </w:p>
        </w:tc>
        <w:tc>
          <w:tcPr>
            <w:tcW w:w="20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Existing cash, cash generated by operations and borrowings available under the Senior Credit Facility are our primary sources of short-term liquidity. We monitor the depository institutions that hold our cash and cash equivalents on a regular basis, and we believe that we have placed our deposits with creditworthy financial institutions. Our sources of operating cash generally include the sale of our products and services and the conversion of our working capital, particularly accounts receivable and inventories. Our cash balance at March 31, 2023 was $404.7 million as compared with $435.0 million at December 31, 2022.</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Our cash balance decreased by $30.3 million to $404.7 million at March 31, 2023, as compared with December 31, 2022. The cash activity during the first three months of 2023 included cash provided by operating activities, $26.2 million in dividend payments, $15.3 million in capital expenditures and $10.0 million of payments on our Term Loan.</w:t>
      </w:r>
    </w:p>
    <w:p>
      <w:pPr>
        <w:pStyle w:val="TextBody"/>
        <w:spacing w:lineRule="auto" w:line="288" w:before="120" w:after="283"/>
        <w:ind w:left="0" w:right="0" w:firstLine="360"/>
        <w:jc w:val="both"/>
        <w:rPr/>
      </w:pPr>
      <w:r>
        <w:rPr>
          <w:rFonts w:ascii="Times New Roman;sans-serif" w:hAnsi="Times New Roman;sans-serif"/>
          <w:b w:val="false"/>
          <w:color w:val="000000"/>
          <w:sz w:val="20"/>
        </w:rPr>
        <w:t>For the three months ended March 31, 2023, our cash provided by operating activities was $26.6 million, as compared to cash used of $26.8 million for the same period in 2022. Cash flow provided from working capital decreased for the three months ended March 31, 2023, due primarily to decreased cash flows used by or increased cash flows provided by inventory, accounts receivable and accounts payable, partially offset by increased cash flows provided by or decreased cash flows used by contract liabilities and contract assets as compared to the sa</w:t>
      </w:r>
      <w:r>
        <w:rPr>
          <w:rFonts w:ascii="Times New Roman;sans-serif" w:hAnsi="Times New Roman;sans-serif"/>
          <w:b w:val="false"/>
          <w:color w:val="000000"/>
          <w:sz w:val="20"/>
          <w:highlight w:val="white"/>
        </w:rPr>
        <w:t xml:space="preserve">me period in 2022.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Increases in accounts receivable used $26.2 million of cash flow for the three months ended March 31, 2023, as compared to $5.0 million provided for the same period in 2022. As of March 31, 2023, our days’ sales outstanding ("DSO") was 83 days as compared with 80 days as of March 31, 2022. </w:t>
      </w:r>
    </w:p>
    <w:p>
      <w:pPr>
        <w:pStyle w:val="HorizontalLine"/>
        <w:rPr/>
      </w:pPr>
      <w:r>
        <w:rPr/>
      </w:r>
      <w:r>
        <mc:AlternateContent>
          <mc:Choice Requires="wps">
            <w:drawing>
              <wp:anchor behindDoc="0" distT="0" distB="0" distL="0" distR="0" simplePos="0" locked="0" layoutInCell="1" allowOverlap="1" relativeHeight="34">
                <wp:simplePos x="0" y="0"/>
                <wp:positionH relativeFrom="character">
                  <wp:align>left</wp:align>
                </wp:positionH>
                <wp:positionV relativeFrom="line">
                  <wp:posOffset>635</wp:posOffset>
                </wp:positionV>
                <wp:extent cx="6480175" cy="351155"/>
                <wp:effectExtent l="0" t="0" r="0" b="0"/>
                <wp:wrapNone/>
                <wp:docPr id="33" name="Frame3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27</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Increases in contract assets provided $4.3 million of cash flow for the three months ended March 31, 2023, as compared with cash flows used of $5.7 million for the same period in 2022.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Increases in inventory used $70.7 million and $48.7 million of cash flow for the three months ended March 31, 2023 and March 31, 2022, respectively. Inventory turns were 3.0 times at March 31, 2023, as compared to 3.3 times as of March 31, 2022. </w:t>
      </w:r>
    </w:p>
    <w:p>
      <w:pPr>
        <w:pStyle w:val="TextBody"/>
        <w:spacing w:lineRule="auto" w:line="288" w:before="120" w:after="283"/>
        <w:ind w:left="0" w:right="0" w:firstLine="360"/>
        <w:jc w:val="both"/>
        <w:rPr/>
      </w:pPr>
      <w:r>
        <w:rPr>
          <w:rFonts w:ascii="Times New Roman;sans-serif" w:hAnsi="Times New Roman;sans-serif"/>
          <w:b w:val="false"/>
          <w:color w:val="000000"/>
          <w:sz w:val="20"/>
        </w:rPr>
        <w:t>Increases in accounts payable provided $7.0 million of cash flow for the three months ended March 31, 2023, as compared with $8.2 million of cash provided for the same period in 2022. Increases</w:t>
      </w:r>
      <w:r>
        <w:rPr>
          <w:color w:val="000000"/>
          <w:highlight w:val="white"/>
        </w:rPr>
        <w:t xml:space="preserve"> </w:t>
      </w:r>
      <w:r>
        <w:rPr>
          <w:rFonts w:ascii="Times New Roman;sans-serif" w:hAnsi="Times New Roman;sans-serif"/>
          <w:b w:val="false"/>
          <w:color w:val="000000"/>
          <w:sz w:val="20"/>
          <w:highlight w:val="white"/>
        </w:rPr>
        <w:t>in accrued liabilitie</w:t>
      </w:r>
      <w:r>
        <w:rPr>
          <w:rFonts w:ascii="Times New Roman;sans-serif" w:hAnsi="Times New Roman;sans-serif"/>
          <w:b w:val="false"/>
          <w:color w:val="000000"/>
          <w:sz w:val="20"/>
        </w:rPr>
        <w:t>s and income taxe</w:t>
      </w:r>
      <w:r>
        <w:rPr>
          <w:rFonts w:ascii="Times New Roman;sans-serif" w:hAnsi="Times New Roman;sans-serif"/>
          <w:b w:val="false"/>
          <w:color w:val="000000"/>
          <w:sz w:val="20"/>
          <w:highlight w:val="white"/>
        </w:rPr>
        <w:t xml:space="preserve">s payable provided $35.4 million of cash flow for the </w:t>
      </w:r>
      <w:r>
        <w:rPr>
          <w:rFonts w:ascii="Times New Roman;sans-serif" w:hAnsi="Times New Roman;sans-serif"/>
          <w:b w:val="false"/>
          <w:color w:val="000000"/>
          <w:sz w:val="20"/>
        </w:rPr>
        <w:t>three</w:t>
      </w:r>
      <w:r>
        <w:rPr>
          <w:color w:val="000000"/>
          <w:highlight w:val="white"/>
        </w:rPr>
        <w:t xml:space="preserve"> </w:t>
      </w:r>
      <w:r>
        <w:rPr>
          <w:rFonts w:ascii="Times New Roman;sans-serif" w:hAnsi="Times New Roman;sans-serif"/>
          <w:b w:val="false"/>
          <w:color w:val="000000"/>
          <w:sz w:val="20"/>
          <w:highlight w:val="white"/>
        </w:rPr>
        <w:t>months ended March 31, 2023, as co</w:t>
      </w:r>
      <w:r>
        <w:rPr>
          <w:rFonts w:ascii="Times New Roman;sans-serif" w:hAnsi="Times New Roman;sans-serif"/>
          <w:b w:val="false"/>
          <w:color w:val="000000"/>
          <w:sz w:val="20"/>
        </w:rPr>
        <w:t xml:space="preserve">mpared with $7.3 million of cash flow provided for the same period in 2022.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Increases in contract liabilities provided $32.7 million of cash flow for the three months ended March 31, 2023, as compared to cash flows provided of $2.6 million for the same period in 2022. </w:t>
      </w:r>
    </w:p>
    <w:p>
      <w:pPr>
        <w:pStyle w:val="TextBody"/>
        <w:spacing w:lineRule="auto" w:line="288" w:before="120" w:after="283"/>
        <w:ind w:left="0" w:right="0" w:firstLine="360"/>
        <w:jc w:val="both"/>
        <w:rPr/>
      </w:pPr>
      <w:r>
        <w:rPr>
          <w:rFonts w:ascii="Times New Roman;sans-serif" w:hAnsi="Times New Roman;sans-serif"/>
          <w:b w:val="false"/>
          <w:color w:val="000000"/>
          <w:sz w:val="20"/>
        </w:rPr>
        <w:t>Cash flows used</w:t>
      </w:r>
      <w:r>
        <w:rPr>
          <w:color w:val="000000"/>
          <w:highlight w:val="white"/>
        </w:rPr>
        <w:t xml:space="preserve"> </w:t>
      </w:r>
      <w:r>
        <w:rPr>
          <w:rFonts w:ascii="Times New Roman;sans-serif" w:hAnsi="Times New Roman;sans-serif"/>
          <w:b w:val="false"/>
          <w:color w:val="000000"/>
          <w:sz w:val="20"/>
        </w:rPr>
        <w:t xml:space="preserve">by investing activities during the three months ended March 31, 2023 were $16.5 million, as compared to cash flows used of $12.2 million for the same period in 2022. Capital expenditures during the three months ended March 31, 2023 were $15.3 million, an increase of $1.3 million as compared with the same period in 2022. Our capital expenditures are generally focused on strategic initiatives to pursue information technology infrastructure, ongoing scheduled replacements and upgrades and cost reduction opportunities. In 2023, </w:t>
      </w:r>
      <w:r>
        <w:rPr>
          <w:rFonts w:ascii="Times New Roman;sans-serif" w:hAnsi="Times New Roman;sans-serif"/>
          <w:b w:val="false"/>
          <w:color w:val="000000"/>
          <w:sz w:val="20"/>
          <w:highlight w:val="white"/>
        </w:rPr>
        <w:t>we currently estimate capital expenditures</w:t>
      </w:r>
      <w:r>
        <w:rPr>
          <w:color w:val="000000"/>
        </w:rPr>
        <w:t xml:space="preserve"> </w:t>
      </w:r>
      <w:r>
        <w:rPr>
          <w:rFonts w:ascii="Times New Roman;sans-serif" w:hAnsi="Times New Roman;sans-serif"/>
          <w:b w:val="false"/>
          <w:color w:val="000000"/>
          <w:sz w:val="20"/>
        </w:rPr>
        <w:t xml:space="preserve">to be between $75 million and $85 million before consideration of any acquisition activity.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Cash flows used by financing activities during the three months ended March 31, 2023 were $43.8 million, as compared to $38.4 million of cash flows used for the same period in 2022. Cash outflows in the three months ended March 31, 2023 resulted primarily from the $10.0 million of payments on our Term Loan and $26.2 million of dividend payments. Cash outflows during the three months ended March 31, 2022 resulted primarily from the $7.6 million of payments on our Term Loan and $26.1 million of dividend payments. </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 xml:space="preserve">Our </w:t>
      </w:r>
      <w:r>
        <w:rPr>
          <w:rFonts w:ascii="Times New Roman;sans-serif" w:hAnsi="Times New Roman;sans-serif"/>
          <w:b w:val="false"/>
          <w:color w:val="000000"/>
          <w:sz w:val="20"/>
        </w:rPr>
        <w:t>Senior Credit Facility Agreement</w:t>
      </w:r>
      <w:r>
        <w:rPr>
          <w:color w:val="000000"/>
          <w:highlight w:val="white"/>
        </w:rPr>
        <w:t xml:space="preserve"> </w:t>
      </w:r>
      <w:r>
        <w:rPr>
          <w:rFonts w:ascii="Times New Roman;sans-serif" w:hAnsi="Times New Roman;sans-serif"/>
          <w:b w:val="false"/>
          <w:color w:val="000000"/>
          <w:sz w:val="20"/>
          <w:highlight w:val="white"/>
        </w:rPr>
        <w:t xml:space="preserve">matures in </w:t>
      </w:r>
      <w:r>
        <w:rPr>
          <w:rFonts w:ascii="Times New Roman;sans-serif" w:hAnsi="Times New Roman;sans-serif"/>
          <w:b w:val="false"/>
          <w:color w:val="000000"/>
          <w:sz w:val="20"/>
        </w:rPr>
        <w:t>September 13, 2026</w:t>
      </w:r>
      <w:r>
        <w:rPr>
          <w:rFonts w:ascii="Times New Roman;sans-serif" w:hAnsi="Times New Roman;sans-serif"/>
          <w:b w:val="false"/>
          <w:color w:val="000000"/>
          <w:sz w:val="20"/>
          <w:highlight w:val="white"/>
        </w:rPr>
        <w:t>. Approx</w:t>
      </w:r>
      <w:r>
        <w:rPr>
          <w:rFonts w:ascii="Times New Roman;sans-serif" w:hAnsi="Times New Roman;sans-serif"/>
          <w:b w:val="false"/>
          <w:color w:val="000000"/>
          <w:sz w:val="20"/>
        </w:rPr>
        <w:t>imately $30 million of our outstanding Term Loan Facility is due to mature in the remainder of 2023 and approximately $60 million</w:t>
      </w:r>
      <w:r>
        <w:rPr>
          <w:color w:val="000000"/>
          <w:highlight w:val="white"/>
        </w:rPr>
        <w:t xml:space="preserve"> </w:t>
      </w:r>
      <w:r>
        <w:rPr>
          <w:rFonts w:ascii="Times New Roman;sans-serif" w:hAnsi="Times New Roman;sans-serif"/>
          <w:b w:val="false"/>
          <w:color w:val="000000"/>
          <w:sz w:val="20"/>
          <w:highlight w:val="white"/>
        </w:rPr>
        <w:t xml:space="preserve">in 2024. As of March 31, 2023, we had an available capacity of </w:t>
      </w:r>
      <w:r>
        <w:rPr>
          <w:rFonts w:ascii="Times New Roman;sans-serif" w:hAnsi="Times New Roman;sans-serif"/>
          <w:b w:val="false"/>
          <w:color w:val="000000"/>
          <w:sz w:val="20"/>
        </w:rPr>
        <w:t>$464.5 million</w:t>
      </w:r>
      <w:r>
        <w:rPr>
          <w:color w:val="000000"/>
          <w:highlight w:val="white"/>
        </w:rPr>
        <w:t xml:space="preserve"> </w:t>
      </w:r>
      <w:r>
        <w:rPr>
          <w:rFonts w:ascii="Times New Roman;sans-serif" w:hAnsi="Times New Roman;sans-serif"/>
          <w:b w:val="false"/>
          <w:color w:val="000000"/>
          <w:sz w:val="20"/>
          <w:highlight w:val="white"/>
        </w:rPr>
        <w:t>on our Senior Credit Facility, which provides for a $800.0 million unsecured revolving credit facility with a maturity date of September 13, 2026. Our borrowing capacity is subject to financial covenant limitations based on the terms of our Senior Credit Facility and is also reduced by outstanding letters of credit. Our Senior Credit Facility is committed and held by a diversified group of financial institutions. Refer to Note 6 to our condensed consolidated financial statements included in this Quarterly Report for additional information concerning our Senior Credit Facility.</w:t>
      </w:r>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 xml:space="preserve">During the </w:t>
      </w:r>
      <w:r>
        <w:rPr>
          <w:rFonts w:ascii="Times New Roman;sans-serif" w:hAnsi="Times New Roman;sans-serif"/>
          <w:b w:val="false"/>
          <w:color w:val="000000"/>
          <w:sz w:val="20"/>
        </w:rPr>
        <w:t>three</w:t>
      </w:r>
      <w:r>
        <w:rPr>
          <w:color w:val="000000"/>
          <w:highlight w:val="white"/>
        </w:rPr>
        <w:t xml:space="preserve"> </w:t>
      </w:r>
      <w:r>
        <w:rPr>
          <w:rFonts w:ascii="Times New Roman;sans-serif" w:hAnsi="Times New Roman;sans-serif"/>
          <w:b w:val="false"/>
          <w:color w:val="000000"/>
          <w:sz w:val="20"/>
          <w:highlight w:val="white"/>
        </w:rPr>
        <w:t xml:space="preserve">months ended </w:t>
      </w:r>
      <w:r>
        <w:rPr>
          <w:rFonts w:ascii="Times New Roman;sans-serif" w:hAnsi="Times New Roman;sans-serif"/>
          <w:b w:val="false"/>
          <w:color w:val="000000"/>
          <w:sz w:val="20"/>
        </w:rPr>
        <w:t>March 31, 2023</w:t>
      </w:r>
      <w:r>
        <w:rPr>
          <w:color w:val="000000"/>
          <w:highlight w:val="white"/>
        </w:rPr>
        <w:t xml:space="preserve"> </w:t>
      </w:r>
      <w:r>
        <w:rPr>
          <w:rFonts w:ascii="Times New Roman;sans-serif" w:hAnsi="Times New Roman;sans-serif"/>
          <w:b w:val="false"/>
          <w:color w:val="000000"/>
          <w:sz w:val="20"/>
          <w:highlight w:val="white"/>
        </w:rPr>
        <w:t>we ha</w:t>
      </w:r>
      <w:r>
        <w:rPr>
          <w:rFonts w:ascii="Times New Roman;sans-serif" w:hAnsi="Times New Roman;sans-serif"/>
          <w:b w:val="false"/>
          <w:color w:val="000000"/>
          <w:sz w:val="20"/>
        </w:rPr>
        <w:t>ve made no cash contributions to our U.S. pension plan</w:t>
      </w:r>
      <w:r>
        <w:rPr>
          <w:rFonts w:ascii="Times New Roman;sans-serif" w:hAnsi="Times New Roman;sans-serif"/>
          <w:b w:val="false"/>
          <w:color w:val="000000"/>
          <w:sz w:val="20"/>
          <w:highlight w:val="white"/>
        </w:rPr>
        <w:t>. At December 31, 2022, our U.S. pension plan was fully funded as defined by applicable law. After consideration of our funded stat</w:t>
      </w:r>
      <w:r>
        <w:rPr>
          <w:rFonts w:ascii="Times New Roman;sans-serif" w:hAnsi="Times New Roman;sans-serif"/>
          <w:b w:val="false"/>
          <w:color w:val="000000"/>
          <w:sz w:val="20"/>
        </w:rPr>
        <w:t>us, we currently do not anticipate making any contributions to our U.S. pension plan in 2023. We</w:t>
      </w:r>
      <w:r>
        <w:rPr>
          <w:color w:val="000000"/>
          <w:highlight w:val="white"/>
        </w:rPr>
        <w:t xml:space="preserve"> </w:t>
      </w:r>
      <w:r>
        <w:rPr>
          <w:rFonts w:ascii="Times New Roman;sans-serif" w:hAnsi="Times New Roman;sans-serif"/>
          <w:b w:val="false"/>
          <w:color w:val="000000"/>
          <w:sz w:val="20"/>
          <w:highlight w:val="white"/>
        </w:rPr>
        <w:t xml:space="preserve">continue to maintain an asset allocation consistent with our strategy to maximize total return, while reducing portfolio risks through asset class diversification.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Considering our current debt structure and cash needs, we currently believe cash flows generated from operating activities combined with availability under our Senior Credit Facility and our existing cash balance will be sufficient to meet our cash needs for our short-term (next 12 months) and long-term (beyond the next 12 months) business needs. Cash flows from operations could be adversely affected by economic, political and other risks associated with sales of our products, operational factors, competition, fluctuations in foreign exchange rates and fluctuations in interest rates, among other factors. See "Financing" and "Cautionary Note Regarding Forward-Looking Statements" below.</w:t>
      </w:r>
    </w:p>
    <w:p>
      <w:pPr>
        <w:pStyle w:val="TextBody"/>
        <w:spacing w:lineRule="auto" w:line="288" w:before="120" w:after="283"/>
        <w:ind w:left="0" w:right="0" w:firstLine="360"/>
        <w:jc w:val="both"/>
        <w:rPr/>
      </w:pPr>
      <w:r>
        <w:rPr>
          <w:rFonts w:ascii="Times New Roman;sans-serif" w:hAnsi="Times New Roman;sans-serif"/>
          <w:b w:val="false"/>
          <w:color w:val="000000"/>
          <w:sz w:val="20"/>
        </w:rPr>
        <w:t>As of March 31, 2023, we hav</w:t>
      </w:r>
      <w:r>
        <w:rPr>
          <w:rFonts w:ascii="Times New Roman;sans-serif" w:hAnsi="Times New Roman;sans-serif"/>
          <w:b w:val="false"/>
          <w:color w:val="000000"/>
          <w:sz w:val="20"/>
          <w:highlight w:val="white"/>
        </w:rPr>
        <w:t>e $96.1 million of rem</w:t>
      </w:r>
      <w:r>
        <w:rPr>
          <w:rFonts w:ascii="Times New Roman;sans-serif" w:hAnsi="Times New Roman;sans-serif"/>
          <w:b w:val="false"/>
          <w:color w:val="000000"/>
          <w:sz w:val="20"/>
        </w:rPr>
        <w:t>aining capacity for Board of Directors approved share repurchases. While we currently intend to continue to return cash through dividends and/or share repurchases for the foreseeable future, any future returns of cash through dividends and/or share repurchases will be reviewed individually, declared by our Board of Directors at its discretion and implemented by management.</w:t>
      </w:r>
    </w:p>
    <w:p>
      <w:pPr>
        <w:pStyle w:val="TextBody"/>
        <w:spacing w:lineRule="auto" w:line="288" w:before="120" w:after="283"/>
        <w:jc w:val="both"/>
        <w:rPr>
          <w:rFonts w:ascii="Times New Roman;sans-serif" w:hAnsi="Times New Roman;sans-serif"/>
          <w:b/>
          <w:color w:val="000000"/>
          <w:sz w:val="20"/>
        </w:rPr>
      </w:pPr>
      <w:r>
        <w:rPr>
          <w:rFonts w:ascii="Times New Roman;sans-serif" w:hAnsi="Times New Roman;sans-serif"/>
          <w:b/>
          <w:color w:val="000000"/>
          <w:sz w:val="20"/>
        </w:rPr>
        <w:t>Financing</w:t>
      </w:r>
    </w:p>
    <w:p>
      <w:pPr>
        <w:pStyle w:val="TextBody"/>
        <w:spacing w:lineRule="auto" w:line="288" w:before="120" w:after="100"/>
        <w:jc w:val="both"/>
        <w:rPr>
          <w:rFonts w:ascii="Times New Roman;sans-serif" w:hAnsi="Times New Roman;sans-serif"/>
          <w:b/>
          <w:i/>
          <w:color w:val="000000"/>
          <w:sz w:val="20"/>
        </w:rPr>
      </w:pPr>
      <w:r>
        <w:rPr>
          <w:rFonts w:ascii="Times New Roman;sans-serif" w:hAnsi="Times New Roman;sans-serif"/>
          <w:b/>
          <w:i/>
          <w:color w:val="000000"/>
          <w:sz w:val="20"/>
        </w:rPr>
        <w:t>Credit Facilities</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See Note 6 to our condensed consolidated financial statements included in this Quarterly Report for a discussion of our Senior Credit Facility and related covenants. </w:t>
      </w:r>
      <w:r>
        <w:rPr>
          <w:rFonts w:ascii="Times New Roman;sans-serif" w:hAnsi="Times New Roman;sans-serif"/>
          <w:b w:val="false"/>
          <w:color w:val="000000"/>
          <w:sz w:val="20"/>
          <w:highlight w:val="white"/>
        </w:rPr>
        <w:t>We were in compliance with all applicable covenants under our Senior Credit Facility as of March 31, 2023.</w:t>
      </w:r>
    </w:p>
    <w:p>
      <w:pPr>
        <w:pStyle w:val="HorizontalLine"/>
        <w:rPr/>
      </w:pPr>
      <w:r>
        <w:rPr/>
      </w:r>
      <w:r>
        <mc:AlternateContent>
          <mc:Choice Requires="wps">
            <w:drawing>
              <wp:anchor behindDoc="0" distT="0" distB="0" distL="0" distR="0" simplePos="0" locked="0" layoutInCell="1" allowOverlap="1" relativeHeight="35">
                <wp:simplePos x="0" y="0"/>
                <wp:positionH relativeFrom="character">
                  <wp:align>left</wp:align>
                </wp:positionH>
                <wp:positionV relativeFrom="line">
                  <wp:posOffset>635</wp:posOffset>
                </wp:positionV>
                <wp:extent cx="6480175" cy="351155"/>
                <wp:effectExtent l="0" t="0" r="0" b="0"/>
                <wp:wrapNone/>
                <wp:docPr id="34" name="Frame3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28</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firstLine="360"/>
        <w:jc w:val="both"/>
        <w:rPr/>
      </w:pPr>
      <w:r>
        <w:rPr>
          <w:rFonts w:ascii="Times New Roman;sans-serif" w:hAnsi="Times New Roman;sans-serif"/>
          <w:b w:val="false"/>
          <w:color w:val="000000"/>
          <w:sz w:val="20"/>
          <w:highlight w:val="white"/>
        </w:rPr>
        <w:t>As of March 31, 2023, we have cash and cash equi</w:t>
      </w:r>
      <w:r>
        <w:rPr>
          <w:rFonts w:ascii="Times New Roman;sans-serif" w:hAnsi="Times New Roman;sans-serif"/>
          <w:b w:val="false"/>
          <w:color w:val="000000"/>
          <w:sz w:val="20"/>
        </w:rPr>
        <w:t>valents of $404.7 million and $464.5 million of borrowings available under our Senior Credit Facility. In April 2023 the Company borrowed $115.0 million on the Revolving Credit Facility for general corporate purposes and as of May 1, 2023 has $75.0 million outstanding. We do not currently anticipate, nor are we aware of, any significant market conditions or commitments that would change any of our conclusions of the liquidity currently available to us. We expect the liquidity discussed above coupled with the costs savings measures planned and already in place will further enable us to maintain adequate liquidity over the short-term (next 12 months) and long-term (beyond the next 12 months)</w:t>
      </w:r>
      <w:r>
        <w:rPr>
          <w:rFonts w:ascii="Times New Roman;sans-serif" w:hAnsi="Times New Roman;sans-serif"/>
          <w:b w:val="false"/>
          <w:color w:val="000000"/>
          <w:sz w:val="20"/>
          <w:highlight w:val="white"/>
        </w:rPr>
        <w:t>. We wi</w:t>
      </w:r>
      <w:r>
        <w:rPr>
          <w:rFonts w:ascii="Times New Roman;sans-serif" w:hAnsi="Times New Roman;sans-serif"/>
          <w:b w:val="false"/>
          <w:color w:val="000000"/>
          <w:sz w:val="20"/>
        </w:rPr>
        <w:t xml:space="preserve">ll continue to actively monitor the credit markets in order to maintain sufficient liquidity and access to capital.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100"/>
        <w:jc w:val="both"/>
        <w:rPr>
          <w:rFonts w:ascii="Times New Roman;sans-serif" w:hAnsi="Times New Roman;sans-serif"/>
          <w:b/>
          <w:color w:val="000000"/>
          <w:sz w:val="20"/>
        </w:rPr>
      </w:pPr>
      <w:r>
        <w:rPr>
          <w:rFonts w:ascii="Times New Roman;sans-serif" w:hAnsi="Times New Roman;sans-serif"/>
          <w:b/>
          <w:color w:val="000000"/>
          <w:sz w:val="20"/>
        </w:rPr>
        <w:t>CRITICAL ACCOUNTING POLICIES AND ESTIMATES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Management’s discussion and analysis of financial condition and results of operations are based on our condensed consolidated financial statements and related footnotes contained within this Quarterly Report. Our critical accounting policies used in the preparation of our condensed consolidated financial statements were discussed in "Item 7. Management's Discussion and Analysis of Financial Condition and Results of Operations" of our 2022 Annual Report. The critical policies, for which no significant changes have occurred in the three months ended March 31, 2023, include:</w:t>
      </w:r>
    </w:p>
    <w:p>
      <w:pPr>
        <w:pStyle w:val="TextBody"/>
        <w:spacing w:lineRule="auto" w:line="288" w:before="120" w:after="20"/>
        <w:ind w:left="0" w:right="0" w:firstLine="360"/>
        <w:jc w:val="both"/>
        <w:rPr/>
      </w:pPr>
      <w:r>
        <w:rPr>
          <w:color w:val="000000"/>
        </w:rPr>
        <w:t>•</w:t>
      </w:r>
      <w:r>
        <w:rPr>
          <w:rFonts w:ascii="Times New Roman;sans-serif" w:hAnsi="Times New Roman;sans-serif"/>
          <w:b w:val="false"/>
          <w:color w:val="000000"/>
          <w:sz w:val="20"/>
        </w:rPr>
        <w:t>Revenue Recognition;</w:t>
      </w:r>
    </w:p>
    <w:p>
      <w:pPr>
        <w:pStyle w:val="TextBody"/>
        <w:spacing w:lineRule="auto" w:line="288" w:before="120" w:after="20"/>
        <w:ind w:left="0" w:right="0" w:firstLine="360"/>
        <w:jc w:val="both"/>
        <w:rPr/>
      </w:pPr>
      <w:r>
        <w:rPr>
          <w:color w:val="000000"/>
        </w:rPr>
        <w:t>•</w:t>
      </w:r>
      <w:r>
        <w:rPr>
          <w:rFonts w:ascii="Times New Roman;sans-serif" w:hAnsi="Times New Roman;sans-serif"/>
          <w:b w:val="false"/>
          <w:color w:val="000000"/>
          <w:sz w:val="20"/>
        </w:rPr>
        <w:t>Deferred Taxes, Tax Valuation Allowances and Tax Reserves;</w:t>
      </w:r>
    </w:p>
    <w:p>
      <w:pPr>
        <w:pStyle w:val="TextBody"/>
        <w:spacing w:lineRule="auto" w:line="288" w:before="120" w:after="20"/>
        <w:ind w:left="0" w:right="0" w:firstLine="360"/>
        <w:jc w:val="both"/>
        <w:rPr/>
      </w:pPr>
      <w:r>
        <w:rPr>
          <w:color w:val="000000"/>
        </w:rPr>
        <w:t>•</w:t>
      </w:r>
      <w:r>
        <w:rPr>
          <w:rFonts w:ascii="Times New Roman;sans-serif" w:hAnsi="Times New Roman;sans-serif"/>
          <w:b w:val="false"/>
          <w:color w:val="000000"/>
          <w:sz w:val="20"/>
        </w:rPr>
        <w:t xml:space="preserve">Reserves for Contingent Loss; </w:t>
      </w:r>
    </w:p>
    <w:p>
      <w:pPr>
        <w:pStyle w:val="TextBody"/>
        <w:spacing w:lineRule="auto" w:line="288" w:before="120" w:after="20"/>
        <w:ind w:left="0" w:right="0" w:firstLine="360"/>
        <w:jc w:val="both"/>
        <w:rPr/>
      </w:pPr>
      <w:r>
        <w:rPr>
          <w:color w:val="000000"/>
        </w:rPr>
        <w:t>•</w:t>
      </w:r>
      <w:r>
        <w:rPr>
          <w:rFonts w:ascii="Times New Roman;sans-serif" w:hAnsi="Times New Roman;sans-serif"/>
          <w:b w:val="false"/>
          <w:color w:val="000000"/>
          <w:sz w:val="20"/>
        </w:rPr>
        <w:t>Pension and Postretirement Benefits; and</w:t>
      </w:r>
    </w:p>
    <w:p>
      <w:pPr>
        <w:pStyle w:val="TextBody"/>
        <w:spacing w:lineRule="auto" w:line="288" w:before="120" w:after="20"/>
        <w:ind w:left="0" w:right="0" w:firstLine="360"/>
        <w:jc w:val="both"/>
        <w:rPr/>
      </w:pPr>
      <w:r>
        <w:rPr>
          <w:color w:val="000000"/>
        </w:rPr>
        <w:t>•</w:t>
      </w:r>
      <w:r>
        <w:rPr>
          <w:rFonts w:ascii="Times New Roman;sans-serif" w:hAnsi="Times New Roman;sans-serif"/>
          <w:b w:val="false"/>
          <w:color w:val="000000"/>
          <w:sz w:val="20"/>
        </w:rPr>
        <w:t>Valuation of Goodwill, Indefinite-Lived Intangible Assets and Other Long-Lived Assets.</w:t>
      </w:r>
    </w:p>
    <w:p>
      <w:pPr>
        <w:pStyle w:val="TextBody"/>
        <w:spacing w:lineRule="auto" w:line="288" w:before="12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 process of preparing condensed consolidated financial statements in conformity with U.S. GAAP requires the use of estimates and assumptions to determine certain of the assets, liabilities, revenues and expenses. These estimates and assumptions are based upon what we believe is the best information available at the time of the estimates or assumptions. The estimates and assumptions could change materially as conditions within and beyond our control change. Accordingly, actual results could differ materially from those estimates. The significant estimates are reviewed quarterly with the Audit Committee of our Board of Directors.</w:t>
      </w:r>
    </w:p>
    <w:p>
      <w:pPr>
        <w:pStyle w:val="TextBody"/>
        <w:spacing w:lineRule="auto" w:line="288" w:before="120" w:after="100"/>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Based on an assessment of our accounting policies and the underlying judgments and uncertainties affecting the application of those policies, we believe that our condensed consolidated financial statements provide a meaningful and fair perspective of our consolidated financial condition and results of operations. This is not to suggest that other general risk factors, such as changes in worldwide demand, changes in material costs, performance of acquired businesses and others, could not adversely impact our consolidated financial condition, results of operations and cash flows in future periods. See "Cautionary Note Regarding Forward-Looking Statements" below.</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100"/>
        <w:jc w:val="both"/>
        <w:rPr>
          <w:rFonts w:ascii="Times New Roman;sans-serif" w:hAnsi="Times New Roman;sans-serif"/>
          <w:b/>
          <w:color w:val="000000"/>
          <w:sz w:val="20"/>
        </w:rPr>
      </w:pPr>
      <w:r>
        <w:rPr>
          <w:rFonts w:ascii="Times New Roman;sans-serif" w:hAnsi="Times New Roman;sans-serif"/>
          <w:b/>
          <w:color w:val="000000"/>
          <w:sz w:val="20"/>
        </w:rPr>
        <w:t>ACCOUNTING DEVELOPMENTS</w:t>
      </w:r>
    </w:p>
    <w:p>
      <w:pPr>
        <w:pStyle w:val="TextBody"/>
        <w:spacing w:lineRule="auto" w:line="288" w:before="120" w:after="100"/>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We have presented the information about pronouncements not yet implemented in Note 1 to our condensed consolidated financial statements included in this Quarterly Report.</w:t>
      </w:r>
    </w:p>
    <w:p>
      <w:pPr>
        <w:pStyle w:val="TextBody"/>
        <w:spacing w:lineRule="auto" w:line="288" w:before="120" w:after="100"/>
        <w:jc w:val="both"/>
        <w:rPr>
          <w:rFonts w:ascii="Times New Roman;sans-serif" w:hAnsi="Times New Roman;sans-serif"/>
          <w:b/>
          <w:color w:val="000000"/>
          <w:sz w:val="20"/>
        </w:rPr>
      </w:pPr>
      <w:r>
        <w:rPr>
          <w:rFonts w:ascii="Times New Roman;sans-serif" w:hAnsi="Times New Roman;sans-serif"/>
          <w:b/>
          <w:color w:val="000000"/>
          <w:sz w:val="20"/>
        </w:rPr>
        <w:t>Cautionary Note Regarding Forward-Looking Statements</w:t>
      </w:r>
    </w:p>
    <w:p>
      <w:pPr>
        <w:pStyle w:val="TextBody"/>
        <w:spacing w:lineRule="auto" w:line="288" w:before="120" w:after="283"/>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This Quarterly Report includes forward-looking statements within the meaning of Section 27A of the Securities Act of 1933 and Section 21E of the Securities Exchange Act of 1934, which are made pursuant to the safe harbor provisions of the Private Securities Litigation Reform Act of 1995, as amended. Words or phrases such as, "may," "should," "expects," "could," "intends," "plans," "anticipates," "estimates," "believes," "predicts" or other similar expressions are intended to identify forward-looking statements, which include, without limitation, statements concerning our future financial performance, future debt and financing levels, investment objectives, implications of litigation and regulatory investigations and other management plans for future operations and performance.</w:t>
      </w:r>
    </w:p>
    <w:p>
      <w:pPr>
        <w:pStyle w:val="TextBody"/>
        <w:spacing w:lineRule="auto" w:line="288" w:before="120" w:after="283"/>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The forward-looking statements included in this Quarterly Report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are currently, or in the future could be, amplified by COVID-19. Specific factors that might cause such a difference include, without limitation, the following:</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uncertainties related to the impact of COVID-19 on our business and operations, financial results and financial position, our customers and suppliers, and on the global economy, including its impact on our sales;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the global supply chain disruption, logistics constraints, and the current inflationary environment could adversely affect the efficiency of our manufacturing and increase the cost of providing our products to customers;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a portion of our bookings may not lead to completed sales, and our ability to convert bookings into revenues at acceptable profit margins;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changes in the global financial markets and the availability of capital and the potential for unexpected cancellations or delays of customer orders in our reported backlog;</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our dependence on our customers' ability to make required capital investment and maintenance expenditures. The liquidity and financial position of our customers could impact capital investment decisions and their ability to pay in full and/or on a timely basis;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if we are not able to successfully execute and realize the expected financial benefits from our restructuring, realignment and other cost-saving initiatives, our business could be adversely affected;</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the substantial dependence of our sales on the success of the oil and gas, chemical, power generation and water management industries;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the adverse impact of volatile raw materials prices on our products and operating margins;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economic, political and other risks associated with our international operations, including military actions, trade embargoes or changes to tariffs or trade agreements that could affect customer markets, particularly North African and Middle Eastern markets and global oil and gas producers, and non-compliance with U.S. export/reexport control, foreign corrupt practice laws, economic sanctions and import laws and regulations;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increased aging and slower collection of receivables, particularly in Latin America and other emerging markets;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our exposure to fluctuations in foreign currency exchange rates, particularly the Euro and British pound and in hyperinflationary countries such as Venezuela and Argentina;</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potential adverse consequences resulting from litigation to which we are a party, such as litigation involving asbestos-containing material claims;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expectations regarding acquisitions and the integration of acquired businesses;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the potential adverse impact of an impairment in the carrying value of goodwill or other intangible assets;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our dependence upon third-party suppliers whose failure to perform timely could adversely affect our business operations;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the highly competitive nature of the markets in which we operate;</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environmental compliance costs and liabilities;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potential work stoppages and other labor matters;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access to public and private sources of debt financing;</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 xml:space="preserve">our inability to protect our intellectual property in the U.S., as well as in foreign countries; </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obligations under our defined benefit pension plans;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our internal control over financial reporting may not prevent or detect misstatements because of its inherent limitations, including the possibility of human error, the circumvention or overriding of controls, or fraud;</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the recording of increased deferred tax asset valuation allowances in the future or the impact of tax law changes on such deferred tax assets could affect our operating results;</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risks and potential liabilities associated with cyber security threats; and</w:t>
      </w:r>
    </w:p>
    <w:p>
      <w:pPr>
        <w:pStyle w:val="TextBody"/>
        <w:spacing w:lineRule="auto" w:line="288" w:before="120" w:after="20"/>
        <w:ind w:left="0" w:right="0" w:hanging="360"/>
        <w:jc w:val="both"/>
        <w:rPr/>
      </w:pPr>
      <w:r>
        <w:rPr>
          <w:color w:val="000000"/>
        </w:rPr>
        <w:t>•</w:t>
      </w:r>
      <w:r>
        <w:rPr>
          <w:rFonts w:ascii="Times New Roman;sans-serif" w:hAnsi="Times New Roman;sans-serif"/>
          <w:b w:val="false"/>
          <w:color w:val="000000"/>
          <w:sz w:val="20"/>
        </w:rPr>
        <w:t>ineffective internal controls could impact the accuracy and timely reporting of our business and financial results.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These and other risks and uncertainties are more fully discussed in the risk factors identified in "Item 1A. Risk Factors" in Part I of our 2022 Annual Report and Part II of this Quarterly Report, and may be identified in our Quarterly Reports on Form 10-Q and our other filings with the SEC and/or press releases from time to time. All forward-looking statements included in this document are based on information available to us on the date hereof, and we assume no obligation to update any forward-looking statement.</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36">
                <wp:simplePos x="0" y="0"/>
                <wp:positionH relativeFrom="character">
                  <wp:align>left</wp:align>
                </wp:positionH>
                <wp:positionV relativeFrom="line">
                  <wp:posOffset>635</wp:posOffset>
                </wp:positionV>
                <wp:extent cx="6480175" cy="351155"/>
                <wp:effectExtent l="0" t="0" r="0" b="0"/>
                <wp:wrapNone/>
                <wp:docPr id="35" name="Frame3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29</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100"/>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3.Quantitative and Qualitative Disclosures About Market Risk.</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have market risk exposure arising from changes in foreign currency exchange rate movements in foreign exchange forward contracts. We are exposed to credit-related losses in the event of non-performance by counterparties to financial instruments, but we currently expect our counterparties will continue to meet their obligations given their current creditworthiness.</w:t>
      </w:r>
    </w:p>
    <w:p>
      <w:pPr>
        <w:pStyle w:val="TextBody"/>
        <w:spacing w:lineRule="auto" w:line="288" w:before="120" w:after="100"/>
        <w:ind w:left="0" w:right="0" w:firstLine="360"/>
        <w:jc w:val="both"/>
        <w:rPr>
          <w:rFonts w:ascii="Times New Roman;sans-serif" w:hAnsi="Times New Roman;sans-serif"/>
          <w:b/>
          <w:color w:val="000000"/>
          <w:sz w:val="20"/>
        </w:rPr>
      </w:pPr>
      <w:r>
        <w:rPr>
          <w:rFonts w:ascii="Times New Roman;sans-serif" w:hAnsi="Times New Roman;sans-serif"/>
          <w:b/>
          <w:color w:val="000000"/>
          <w:sz w:val="20"/>
        </w:rPr>
        <w:t>Foreign Currency Exchange Rate Risk</w:t>
      </w:r>
    </w:p>
    <w:p>
      <w:pPr>
        <w:pStyle w:val="TextBody"/>
        <w:spacing w:lineRule="auto" w:line="288" w:before="120" w:after="283"/>
        <w:ind w:left="0" w:right="0" w:firstLine="360"/>
        <w:jc w:val="both"/>
        <w:rPr/>
      </w:pPr>
      <w:r>
        <w:rPr>
          <w:rFonts w:ascii="Times New Roman;sans-serif" w:hAnsi="Times New Roman;sans-serif"/>
          <w:b w:val="false"/>
          <w:color w:val="000000"/>
          <w:sz w:val="20"/>
        </w:rPr>
        <w:t>A substantial portion of our operations are conducted by our subsidiaries outside of the U.S. in currencies other than the U.S. dollar. Almost all of our non-U.S. subsidiaries conduct their business primarily in their local currencies, which are also their functional currencies. Foreign currency exposures arise from translation of foreign-denominated assets and liabilities into U.S. dollars and from transactions, including firm commitments and anticipated transactions, denominated in a currency other than our or a non-U.S. subsidiary’s functional currency. We recognized net gains (losses) associated with foreign currency translation of $13.5 million and $(16.7) million for the three months ended March 31, 2023 and 2022, respectively, wh</w:t>
      </w:r>
      <w:r>
        <w:rPr>
          <w:rFonts w:ascii="Times New Roman;sans-serif" w:hAnsi="Times New Roman;sans-serif"/>
          <w:b w:val="false"/>
          <w:color w:val="000000"/>
          <w:sz w:val="20"/>
          <w:highlight w:val="white"/>
        </w:rPr>
        <w:t>ich are included in other comprehensive income (loss).</w:t>
      </w:r>
    </w:p>
    <w:p>
      <w:pPr>
        <w:pStyle w:val="TextBody"/>
        <w:spacing w:lineRule="auto" w:line="288" w:before="120" w:after="283"/>
        <w:ind w:left="0" w:right="0" w:firstLine="360"/>
        <w:jc w:val="both"/>
        <w:rPr/>
      </w:pPr>
      <w:r>
        <w:rPr>
          <w:rFonts w:ascii="Times New Roman;sans-serif" w:hAnsi="Times New Roman;sans-serif"/>
          <w:b w:val="false"/>
          <w:color w:val="000000"/>
          <w:sz w:val="20"/>
        </w:rPr>
        <w:t>We employ a foreign currency risk management strategy to minimize potential changes in cash flows from unfavorable foreign currency exchange rate movements. Where available, the use of foreign exchange forward contracts allows us to mitigate transactional exposure to exchange rate fluctuations as the gains or losses incurred on the foreign exchange forward contracts will offset, in whole or in part, losses or gains on the underlying foreign currency exposure. As of March 31, 2023, we had a U.S. dollar equivalent o</w:t>
      </w:r>
      <w:r>
        <w:rPr>
          <w:rFonts w:ascii="Times New Roman;sans-serif" w:hAnsi="Times New Roman;sans-serif"/>
          <w:b w:val="false"/>
          <w:color w:val="000000"/>
          <w:sz w:val="20"/>
          <w:highlight w:val="white"/>
        </w:rPr>
        <w:t xml:space="preserve">f </w:t>
      </w:r>
      <w:r>
        <w:rPr>
          <w:rFonts w:ascii="Times New Roman;sans-serif" w:hAnsi="Times New Roman;sans-serif"/>
          <w:b w:val="false"/>
          <w:color w:val="000000"/>
          <w:sz w:val="20"/>
        </w:rPr>
        <w:t>$544.0 million</w:t>
      </w:r>
      <w:r>
        <w:rPr>
          <w:color w:val="000000"/>
          <w:highlight w:val="white"/>
        </w:rPr>
        <w:t> </w:t>
      </w:r>
      <w:r>
        <w:rPr>
          <w:rFonts w:ascii="Times New Roman;sans-serif" w:hAnsi="Times New Roman;sans-serif"/>
          <w:b w:val="false"/>
          <w:color w:val="000000"/>
          <w:sz w:val="20"/>
          <w:highlight w:val="white"/>
        </w:rPr>
        <w:t>in aggregate notional amount outstanding in foreign exchange forward contracts with third parties, as compared with $459.2 million at December 31, 2022. Transactional currency gains and losses arising from transactions outside of our sites’ functional currencies and changes in fair value of non-design</w:t>
      </w:r>
      <w:r>
        <w:rPr>
          <w:rFonts w:ascii="Times New Roman;sans-serif" w:hAnsi="Times New Roman;sans-serif"/>
          <w:b w:val="false"/>
          <w:color w:val="000000"/>
          <w:sz w:val="20"/>
        </w:rPr>
        <w:t xml:space="preserve">ated foreign exchange forward contracts are included in our consolidated results of operations. We recognized foreign currency net gains (losses) of $(7.4) million and $(5.7) million for the three months ended March 31, 2023 and 2022, respectively, which </w:t>
      </w:r>
      <w:r>
        <w:rPr>
          <w:rFonts w:ascii="Times New Roman;sans-serif" w:hAnsi="Times New Roman;sans-serif"/>
          <w:b w:val="false"/>
          <w:color w:val="000000"/>
          <w:sz w:val="20"/>
          <w:highlight w:val="white"/>
        </w:rPr>
        <w:t>are included in other income (expens</w:t>
      </w:r>
      <w:r>
        <w:rPr>
          <w:rFonts w:ascii="Times New Roman;sans-serif" w:hAnsi="Times New Roman;sans-serif"/>
          <w:b w:val="false"/>
          <w:color w:val="000000"/>
          <w:sz w:val="20"/>
        </w:rPr>
        <w:t>e), net in the accompanying condensed consolidated statements of income.</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Based on a sensitivity analysis at March 31, 2023, a 10% change in the foreign currency exchange rates for the three months ended March 31, 2023 would have impacted our net earnings by approximately $10 million. This calculation assumes that all currencies change in the same direction and proportion relative to the U.S. dollar and that there are no indirect effects, such as changes in non-U.S. dollar sales volumes or prices. This calculation does not take into account the impact of the foreign currency exchange forward contracts discussed above.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100"/>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4.Controls and Procedures.</w:t>
      </w:r>
    </w:p>
    <w:p>
      <w:pPr>
        <w:pStyle w:val="TextBody"/>
        <w:spacing w:lineRule="auto" w:line="288" w:before="120" w:after="100"/>
        <w:jc w:val="both"/>
        <w:rPr>
          <w:rFonts w:ascii="Times New Roman;sans-serif" w:hAnsi="Times New Roman;sans-serif"/>
          <w:b/>
          <w:color w:val="000000"/>
          <w:sz w:val="20"/>
        </w:rPr>
      </w:pPr>
      <w:r>
        <w:rPr>
          <w:rFonts w:ascii="Times New Roman;sans-serif" w:hAnsi="Times New Roman;sans-serif"/>
          <w:b/>
          <w:color w:val="000000"/>
          <w:sz w:val="20"/>
        </w:rPr>
        <w:t>Disclosure Controls and Procedures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Disclosure controls and procedures (as defined in Rules 13a-15(e) and 15d-15(e) of the Exchange Act) are controls and other procedures that are designed to ensure that the information that we are required to disclose in the reports that we file or submit under the Exchange Act is recorded, processed, summarized and reported within the time periods specified in the SEC’s rules and forms, and that such information is accumulated and communicated to our management, including our Principal Executive Officer and Principal Financial Officer, as appropriate to allow timely decisions regarding required disclosure.</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In connection with the preparation of this Quarterly Report, our management, under the supervision and with the participation of our Principal Executive Officer and Principal Financial Officer, carried out an evaluation of the effectiveness of the design and operation of our disclosure controls and procedures as of March 31, 2023. Based on this evaluation, our principal executive officer and principal financial officer concluded that our disclosure controls and procedures were effective as of March 31, 2023.</w:t>
      </w:r>
    </w:p>
    <w:p>
      <w:pPr>
        <w:pStyle w:val="TextBody"/>
        <w:spacing w:lineRule="auto" w:line="288" w:before="120" w:after="100"/>
        <w:jc w:val="both"/>
        <w:rPr>
          <w:rFonts w:ascii="Times New Roman;sans-serif" w:hAnsi="Times New Roman;sans-serif"/>
          <w:b/>
          <w:color w:val="000000"/>
          <w:sz w:val="20"/>
        </w:rPr>
      </w:pPr>
      <w:r>
        <w:rPr>
          <w:rFonts w:ascii="Times New Roman;sans-serif" w:hAnsi="Times New Roman;sans-serif"/>
          <w:b/>
          <w:color w:val="000000"/>
          <w:sz w:val="20"/>
        </w:rPr>
        <w:t xml:space="preserve">Changes in Internal Control Over Financial Reporting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There have been no changes in our internal control over financial reporting (as defined in Rule 13a-15(f) and 15d-15(f) of the Exchange Act) during the quarter ended March 31, 2023 that have materially affected, or are reasonably likely to materially affect, our internal control over financial reporting.</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37">
                <wp:simplePos x="0" y="0"/>
                <wp:positionH relativeFrom="character">
                  <wp:align>left</wp:align>
                </wp:positionH>
                <wp:positionV relativeFrom="line">
                  <wp:posOffset>635</wp:posOffset>
                </wp:positionV>
                <wp:extent cx="6480175" cy="351155"/>
                <wp:effectExtent l="0" t="0" r="0" b="0"/>
                <wp:wrapNone/>
                <wp:docPr id="36" name="Frame3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30</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before="360" w:after="283"/>
        <w:jc w:val="center"/>
        <w:rPr/>
      </w:pPr>
      <w:r>
        <w:rPr/>
      </w:r>
    </w:p>
    <w:p>
      <w:pPr>
        <w:pStyle w:val="TextBody"/>
        <w:spacing w:lineRule="auto" w:line="288" w:before="360" w:after="283"/>
        <w:jc w:val="center"/>
        <w:rPr>
          <w:rFonts w:ascii="Times New Roman;sans-serif" w:hAnsi="Times New Roman;sans-serif"/>
          <w:b/>
          <w:color w:val="000000"/>
          <w:sz w:val="20"/>
        </w:rPr>
      </w:pPr>
      <w:r>
        <w:rPr>
          <w:rFonts w:ascii="Times New Roman;sans-serif" w:hAnsi="Times New Roman;sans-serif"/>
          <w:b/>
          <w:color w:val="000000"/>
          <w:sz w:val="20"/>
        </w:rPr>
        <w:t>PART II — OTHER INFORMATION</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00" w:after="100"/>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1.Legal Proceedings.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We are party to the legal proceedings that are described in Note 10 to our condensed consolidated financial statements included in "Item 1. Financial Statements" of this Quarterly Report, and such disclosure is incorporated by reference into this "Item 1. Legal Proceedings." In addition to the foregoing, we and our subsidiaries are named defendants in certain other ordinary routine lawsuits incidental to our business and are involved from time to time as parties to governmental proceedings, all arising in the ordinary course of business. Although the outcome of lawsuits or other proceedings involving us and our subsidiaries cannot be predicted with certainty, and the amount of any liability that could arise with respect to such lawsuits or other proceedings cannot be predicted accurately, management does not currently expect the amount of any liability that could arise with respect to these matters, either individually or in the aggregate, to have a material adverse effect on our financial position, results of operations or cash flows.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100"/>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1A.Risk Factors.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There are numerous factors that affect our business, financial condition, results of operations, cash flows, reputation and/or prospects, many of which are beyond our control. In addition to other information set forth in this Quarterly Report, careful consideration should be given to "Item 1A. Risk Factors" in Part I and "Item 7. Management’s Discussion and Analysis of Financial Condition and Results of Operations" in Part II of our 2022 Annual Report, which contain descriptions of significant factors that might cause the actual results of operations in future periods to differ materially from those currently projected in the forward-looking statements contained therein.</w:t>
      </w:r>
    </w:p>
    <w:p>
      <w:pPr>
        <w:pStyle w:val="TextBody"/>
        <w:spacing w:lineRule="auto" w:line="288" w:before="120" w:after="283"/>
        <w:ind w:left="0" w:right="0" w:firstLine="360"/>
        <w:jc w:val="both"/>
        <w:rPr/>
      </w:pPr>
      <w:r>
        <w:rPr>
          <w:rFonts w:ascii="Times New Roman;sans-serif" w:hAnsi="Times New Roman;sans-serif"/>
          <w:b w:val="false"/>
          <w:color w:val="000000"/>
          <w:sz w:val="20"/>
        </w:rPr>
        <w:t xml:space="preserve">There have been no material changes in risk factors discussed in our 2022 Annual Report and subsequent SEC filings. The risks described in this Quarterly Report filed for the period ended </w:t>
      </w:r>
      <w:r>
        <w:rPr>
          <w:rFonts w:ascii="Times New Roman;sans-serif" w:hAnsi="Times New Roman;sans-serif"/>
          <w:b w:val="false"/>
          <w:color w:val="000000"/>
          <w:sz w:val="20"/>
          <w:highlight w:val="white"/>
        </w:rPr>
        <w:t>March 31, 2023</w:t>
      </w:r>
      <w:r>
        <w:rPr>
          <w:rFonts w:ascii="Times New Roman;sans-serif" w:hAnsi="Times New Roman;sans-serif"/>
          <w:b w:val="false"/>
          <w:color w:val="000000"/>
          <w:sz w:val="20"/>
        </w:rPr>
        <w:t>, our 2022 Annual Report and in our other SEC filings or press releases from time to time are not the only risks we face. Additional risks and uncertainties are currently deemed immaterial based on management's assessment of currently available information, which remains subject to change; however, new risks that are currently unknown to us may surface in the future that materially adversely affect our business, financial condition, results of operations or cash flows.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100"/>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2.Unregistered Sales of Equity Securities and Use of Proceeds.</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 xml:space="preserve">Note 12 to our condensed consolidated financial statements included in this Quarterly Report includes a discussion of our share repurchase program and payment of quarterly dividends on our common stock. </w:t>
      </w:r>
    </w:p>
    <w:p>
      <w:pPr>
        <w:pStyle w:val="TextBody"/>
        <w:spacing w:lineRule="auto" w:line="288" w:before="120" w:after="283"/>
        <w:ind w:left="0" w:right="0" w:firstLine="360"/>
        <w:jc w:val="both"/>
        <w:rPr>
          <w:rFonts w:ascii="Times New Roman;sans-serif" w:hAnsi="Times New Roman;sans-serif"/>
          <w:b w:val="false"/>
          <w:color w:val="000000"/>
          <w:sz w:val="20"/>
        </w:rPr>
      </w:pPr>
      <w:r>
        <w:rPr>
          <w:rFonts w:ascii="Times New Roman;sans-serif" w:hAnsi="Times New Roman;sans-serif"/>
          <w:b w:val="false"/>
          <w:color w:val="000000"/>
          <w:sz w:val="20"/>
        </w:rPr>
        <w:t>During the quarter ended March 31, 2023, we had no repurchases of our common stock shares.  As of March 31, 2023, we have $96.1 million of remaining capacity under our current share repurchase program. The following table sets forth the activity for each of the three months during the quarter ended March 31, 2023:</w:t>
      </w:r>
    </w:p>
    <w:tbl>
      <w:tblPr>
        <w:tblW w:w="10205" w:type="dxa"/>
        <w:jc w:val="left"/>
        <w:tblInd w:w="0" w:type="dxa"/>
        <w:tblCellMar>
          <w:top w:w="28" w:type="dxa"/>
          <w:left w:w="28" w:type="dxa"/>
          <w:bottom w:w="28" w:type="dxa"/>
          <w:right w:w="28" w:type="dxa"/>
        </w:tblCellMar>
      </w:tblPr>
      <w:tblGrid>
        <w:gridCol w:w="443"/>
        <w:gridCol w:w="362"/>
        <w:gridCol w:w="368"/>
        <w:gridCol w:w="762"/>
        <w:gridCol w:w="675"/>
        <w:gridCol w:w="677"/>
        <w:gridCol w:w="109"/>
        <w:gridCol w:w="109"/>
        <w:gridCol w:w="109"/>
        <w:gridCol w:w="407"/>
        <w:gridCol w:w="1190"/>
        <w:gridCol w:w="210"/>
        <w:gridCol w:w="109"/>
        <w:gridCol w:w="109"/>
        <w:gridCol w:w="109"/>
        <w:gridCol w:w="777"/>
        <w:gridCol w:w="777"/>
        <w:gridCol w:w="779"/>
        <w:gridCol w:w="109"/>
        <w:gridCol w:w="109"/>
        <w:gridCol w:w="109"/>
        <w:gridCol w:w="414"/>
        <w:gridCol w:w="1005"/>
        <w:gridCol w:w="216"/>
        <w:gridCol w:w="162"/>
      </w:tblGrid>
      <w:tr>
        <w:trPr/>
        <w:tc>
          <w:tcPr>
            <w:tcW w:w="443"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center"/>
          </w:tcPr>
          <w:p>
            <w:pPr>
              <w:pStyle w:val="TableContents"/>
              <w:spacing w:before="0" w:after="283"/>
              <w:rPr>
                <w:sz w:val="4"/>
                <w:szCs w:val="4"/>
              </w:rPr>
            </w:pPr>
            <w:r>
              <w:rPr>
                <w:sz w:val="4"/>
                <w:szCs w:val="4"/>
              </w:rPr>
            </w:r>
          </w:p>
        </w:tc>
        <w:tc>
          <w:tcPr>
            <w:tcW w:w="762"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67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center"/>
          </w:tcPr>
          <w:p>
            <w:pPr>
              <w:pStyle w:val="TableContents"/>
              <w:spacing w:before="0" w:after="283"/>
              <w:rPr>
                <w:sz w:val="4"/>
                <w:szCs w:val="4"/>
              </w:rPr>
            </w:pPr>
            <w:r>
              <w:rPr>
                <w:sz w:val="4"/>
                <w:szCs w:val="4"/>
              </w:rPr>
            </w:r>
          </w:p>
        </w:tc>
        <w:tc>
          <w:tcPr>
            <w:tcW w:w="1190"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77" w:type="dxa"/>
            <w:tcBorders/>
            <w:shd w:fill="auto" w:val="clear"/>
            <w:vAlign w:val="center"/>
          </w:tcPr>
          <w:p>
            <w:pPr>
              <w:pStyle w:val="TableContents"/>
              <w:spacing w:before="0" w:after="283"/>
              <w:rPr>
                <w:sz w:val="4"/>
                <w:szCs w:val="4"/>
              </w:rPr>
            </w:pPr>
            <w:r>
              <w:rPr>
                <w:sz w:val="4"/>
                <w:szCs w:val="4"/>
              </w:rPr>
            </w:r>
          </w:p>
        </w:tc>
        <w:tc>
          <w:tcPr>
            <w:tcW w:w="777" w:type="dxa"/>
            <w:tcBorders/>
            <w:shd w:fill="auto" w:val="clear"/>
            <w:vAlign w:val="center"/>
          </w:tcPr>
          <w:p>
            <w:pPr>
              <w:pStyle w:val="TableContents"/>
              <w:spacing w:before="0" w:after="283"/>
              <w:rPr>
                <w:sz w:val="4"/>
                <w:szCs w:val="4"/>
              </w:rPr>
            </w:pPr>
            <w:r>
              <w:rPr>
                <w:sz w:val="4"/>
                <w:szCs w:val="4"/>
              </w:rPr>
            </w:r>
          </w:p>
        </w:tc>
        <w:tc>
          <w:tcPr>
            <w:tcW w:w="77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1005"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4"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Total Number of Shares Purchased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07"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Average Price Paid per Share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33"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Total Number of</w:t>
              <w:br/>
              <w:t>Shares Purchased as</w:t>
              <w:br/>
              <w:t>Part of Publicly Announced Program (1)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35"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Maximum Number of</w:t>
              <w:br/>
              <w:t>Shares (or</w:t>
              <w:br/>
              <w:t>Approximate Dollar</w:t>
              <w:br/>
              <w:t>Value) That May Yet</w:t>
              <w:br/>
              <w:t>Be Purchased Under</w:t>
              <w:br/>
              <w:t>the Program (in millions)</w:t>
            </w:r>
          </w:p>
        </w:tc>
        <w:tc>
          <w:tcPr>
            <w:tcW w:w="162" w:type="dxa"/>
            <w:tcBorders/>
            <w:shd w:fill="auto" w:val="clear"/>
            <w:vAlign w:val="center"/>
          </w:tcPr>
          <w:p>
            <w:pPr>
              <w:pStyle w:val="TableContents"/>
              <w:spacing w:before="0" w:after="283"/>
              <w:rPr>
                <w:sz w:val="4"/>
                <w:szCs w:val="4"/>
              </w:rPr>
            </w:pPr>
            <w:r>
              <w:rPr>
                <w:sz w:val="4"/>
                <w:szCs w:val="4"/>
              </w:rPr>
            </w:r>
          </w:p>
        </w:tc>
      </w:tr>
      <w:tr>
        <w:trPr/>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Period</w:t>
            </w:r>
          </w:p>
        </w:tc>
        <w:tc>
          <w:tcPr>
            <w:tcW w:w="2114" w:type="dxa"/>
            <w:gridSpan w:val="3"/>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807" w:type="dxa"/>
            <w:gridSpan w:val="3"/>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33" w:type="dxa"/>
            <w:gridSpan w:val="3"/>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35" w:type="dxa"/>
            <w:gridSpan w:val="3"/>
            <w:vMerge w:val="continue"/>
            <w:tcBorders/>
            <w:shd w:fill="auto" w:val="clear"/>
            <w:tcMar>
              <w:top w:w="0" w:type="dxa"/>
              <w:left w:w="0" w:type="dxa"/>
              <w:bottom w:w="0" w:type="dxa"/>
              <w:right w:w="0" w:type="dxa"/>
            </w:tcMar>
            <w:vAlign w:val="center"/>
          </w:tcPr>
          <w:p>
            <w:pPr>
              <w:pStyle w:val="Normal"/>
              <w:rPr/>
            </w:pPr>
            <w:r>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17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January 1 - 31</w:t>
            </w:r>
          </w:p>
        </w:tc>
        <w:tc>
          <w:tcPr>
            <w:tcW w:w="14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168 </w:t>
            </w:r>
          </w:p>
        </w:tc>
        <w:tc>
          <w:tcPr>
            <w:tcW w:w="67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(2)</w:t>
            </w:r>
          </w:p>
        </w:tc>
        <w:tc>
          <w:tcPr>
            <w:tcW w:w="40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9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33.29 </w:t>
            </w:r>
          </w:p>
        </w:tc>
        <w:tc>
          <w:tcPr>
            <w:tcW w:w="2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54"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77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005"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96.1 </w:t>
            </w:r>
          </w:p>
        </w:tc>
        <w:tc>
          <w:tcPr>
            <w:tcW w:w="21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February 1 - 28</w:t>
            </w:r>
          </w:p>
        </w:tc>
        <w:tc>
          <w:tcPr>
            <w:tcW w:w="14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162,374 </w:t>
            </w:r>
          </w:p>
        </w:tc>
        <w:tc>
          <w:tcPr>
            <w:tcW w:w="67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(2)</w:t>
            </w:r>
          </w:p>
        </w:tc>
        <w:tc>
          <w:tcPr>
            <w:tcW w:w="159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36.27 </w:t>
            </w:r>
          </w:p>
        </w:tc>
        <w:tc>
          <w:tcPr>
            <w:tcW w:w="21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5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77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96.1 </w:t>
            </w:r>
          </w:p>
        </w:tc>
        <w:tc>
          <w:tcPr>
            <w:tcW w:w="21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173"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March 1 - 31</w:t>
            </w:r>
          </w:p>
        </w:tc>
        <w:tc>
          <w:tcPr>
            <w:tcW w:w="14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2,533 </w:t>
            </w:r>
          </w:p>
        </w:tc>
        <w:tc>
          <w:tcPr>
            <w:tcW w:w="67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(3)</w:t>
            </w:r>
          </w:p>
        </w:tc>
        <w:tc>
          <w:tcPr>
            <w:tcW w:w="159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33.81 </w:t>
            </w:r>
          </w:p>
        </w:tc>
        <w:tc>
          <w:tcPr>
            <w:tcW w:w="21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5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77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96.1 </w:t>
            </w:r>
          </w:p>
        </w:tc>
        <w:tc>
          <w:tcPr>
            <w:tcW w:w="21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Total</w:t>
            </w:r>
          </w:p>
        </w:tc>
        <w:tc>
          <w:tcPr>
            <w:tcW w:w="1437" w:type="dxa"/>
            <w:gridSpan w:val="2"/>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165,075 </w:t>
            </w:r>
          </w:p>
        </w:tc>
        <w:tc>
          <w:tcPr>
            <w:tcW w:w="677"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407"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90"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36.23 </w:t>
            </w:r>
          </w:p>
        </w:tc>
        <w:tc>
          <w:tcPr>
            <w:tcW w:w="210"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54" w:type="dxa"/>
            <w:gridSpan w:val="2"/>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77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3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62"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00" w:after="100"/>
        <w:ind w:left="0" w:right="0" w:firstLine="360"/>
        <w:jc w:val="both"/>
        <w:rPr>
          <w:rFonts w:ascii="Times New Roman;sans-serif" w:hAnsi="Times New Roman;sans-serif"/>
          <w:b w:val="false"/>
          <w:color w:val="000000"/>
          <w:sz w:val="20"/>
          <w:highlight w:val="white"/>
        </w:rPr>
      </w:pPr>
      <w:r>
        <w:rPr>
          <w:rFonts w:ascii="Times New Roman;sans-serif" w:hAnsi="Times New Roman;sans-serif"/>
          <w:b w:val="false"/>
          <w:color w:val="000000"/>
          <w:sz w:val="20"/>
          <w:highlight w:val="white"/>
        </w:rPr>
        <w:t>__________________________________</w:t>
      </w:r>
    </w:p>
    <w:p>
      <w:pPr>
        <w:pStyle w:val="TextBody"/>
        <w:spacing w:lineRule="auto" w:line="288" w:before="120" w:after="100"/>
        <w:ind w:left="0" w:right="0" w:hanging="360"/>
        <w:jc w:val="both"/>
        <w:rPr>
          <w:rFonts w:ascii="Times New Roman;sans-serif" w:hAnsi="Times New Roman;sans-serif"/>
          <w:b w:val="false"/>
          <w:color w:val="000000"/>
          <w:sz w:val="20"/>
          <w:highlight w:val="white"/>
        </w:rPr>
      </w:pPr>
      <w:r>
        <w:rPr>
          <w:rFonts w:ascii="Times New Roman;sans-serif" w:hAnsi="Times New Roman;sans-serif"/>
          <w:b w:val="false"/>
          <w:color w:val="000000"/>
          <w:sz w:val="20"/>
          <w:highlight w:val="white"/>
        </w:rPr>
        <w:t>(1)On November 13, 2014, our Board of Directors approved a $500.0 million share repurchase authorization. Our share repurchase program does not have an expiration date, and we reserve the right to limit or terminate the repurchase program at any time without notice.</w:t>
      </w:r>
    </w:p>
    <w:p>
      <w:pPr>
        <w:pStyle w:val="TextBody"/>
        <w:spacing w:lineRule="auto" w:line="288" w:before="120" w:after="100"/>
        <w:ind w:left="0" w:right="0" w:hanging="360"/>
        <w:jc w:val="both"/>
        <w:rPr/>
      </w:pPr>
      <w:r>
        <w:rPr>
          <w:rFonts w:ascii="Times New Roman;sans-serif" w:hAnsi="Times New Roman;sans-serif"/>
          <w:b w:val="false"/>
          <w:color w:val="000000"/>
          <w:sz w:val="20"/>
          <w:highlight w:val="white"/>
        </w:rPr>
        <w:t>(2)</w:t>
      </w:r>
      <w:r>
        <w:rPr>
          <w:rFonts w:ascii="Times New Roman;sans-serif" w:hAnsi="Times New Roman;sans-serif"/>
          <w:b w:val="false"/>
          <w:color w:val="000000"/>
          <w:sz w:val="20"/>
        </w:rPr>
        <w:t xml:space="preserve">Represents shares that were tendered by employees to satisfy minimum tax withholding amounts for Restricted Shares. </w:t>
      </w:r>
    </w:p>
    <w:p>
      <w:pPr>
        <w:pStyle w:val="TextBody"/>
        <w:spacing w:lineRule="auto" w:line="288" w:before="120" w:after="283"/>
        <w:ind w:left="0" w:right="0" w:hanging="360"/>
        <w:jc w:val="both"/>
        <w:rPr/>
      </w:pPr>
      <w:r>
        <w:rPr>
          <w:rFonts w:ascii="Times New Roman;sans-serif" w:hAnsi="Times New Roman;sans-serif"/>
          <w:b w:val="false"/>
          <w:color w:val="000000"/>
          <w:sz w:val="20"/>
        </w:rPr>
        <w:t>(3)Includes 663 shares that were tendered by employees to satisfy minimum tax withholding amounts for Restricted Shares at an average price per share of $32.88 and 1,870 shares purchased at a price of $34.14 per share by a rabbi trust that we established in connection with our director deferral plans, pursuant to which non-employee di</w:t>
      </w:r>
      <w:r>
        <w:rPr>
          <w:rFonts w:ascii="Times New Roman;sans-serif" w:hAnsi="Times New Roman;sans-serif"/>
          <w:b w:val="false"/>
          <w:color w:val="000000"/>
          <w:sz w:val="20"/>
          <w:highlight w:val="white"/>
        </w:rPr>
        <w:t>rectors may elect to defer directors’ quarterly cash compensation to be paid at a later date in the form of common stock.</w:t>
      </w:r>
    </w:p>
    <w:p>
      <w:pPr>
        <w:pStyle w:val="TextBody"/>
        <w:spacing w:before="120" w:after="283"/>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38">
                <wp:simplePos x="0" y="0"/>
                <wp:positionH relativeFrom="character">
                  <wp:align>left</wp:align>
                </wp:positionH>
                <wp:positionV relativeFrom="line">
                  <wp:posOffset>635</wp:posOffset>
                </wp:positionV>
                <wp:extent cx="6480175" cy="351155"/>
                <wp:effectExtent l="0" t="0" r="0" b="0"/>
                <wp:wrapNone/>
                <wp:docPr id="37" name="Frame3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31</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lineRule="auto" w:line="288" w:before="120" w:after="283"/>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3.Defaults Upon Senior Securities.</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None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4.Mine Safety Disclosures.</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Not applicable.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120" w:after="283"/>
        <w:ind w:left="0" w:right="0" w:hanging="900"/>
        <w:jc w:val="both"/>
        <w:rPr>
          <w:rFonts w:ascii="Times New Roman;sans-serif" w:hAnsi="Times New Roman;sans-serif"/>
          <w:b/>
          <w:color w:val="000000"/>
          <w:sz w:val="20"/>
        </w:rPr>
      </w:pPr>
      <w:r>
        <w:rPr>
          <w:rFonts w:ascii="Times New Roman;sans-serif" w:hAnsi="Times New Roman;sans-serif"/>
          <w:b/>
          <w:color w:val="000000"/>
          <w:sz w:val="20"/>
        </w:rPr>
        <w:t>Item 5.Other Information.</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None</w:t>
      </w:r>
    </w:p>
    <w:p>
      <w:pPr>
        <w:pStyle w:val="TextBody"/>
        <w:spacing w:before="120" w:after="283"/>
        <w:jc w:val="both"/>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39">
                <wp:simplePos x="0" y="0"/>
                <wp:positionH relativeFrom="character">
                  <wp:align>left</wp:align>
                </wp:positionH>
                <wp:positionV relativeFrom="line">
                  <wp:posOffset>635</wp:posOffset>
                </wp:positionV>
                <wp:extent cx="6480175" cy="351155"/>
                <wp:effectExtent l="0" t="0" r="0" b="0"/>
                <wp:wrapNone/>
                <wp:docPr id="38" name="Frame3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32</w:t>
                      </w:r>
                    </w:p>
                    <w:p>
                      <w:pPr>
                        <w:pStyle w:val="TextBody"/>
                        <w:spacing w:before="0" w:after="0"/>
                        <w:jc w:val="center"/>
                        <w:rPr/>
                      </w:pPr>
                      <w:r>
                        <w:rPr/>
                      </w:r>
                    </w:p>
                  </w:txbxContent>
                </v:textbox>
              </v:rect>
            </w:pict>
          </mc:Fallback>
        </mc:AlternateContent>
      </w:r>
    </w:p>
    <w:p>
      <w:pPr>
        <w:pStyle w:val="TextBody"/>
        <w:spacing w:lineRule="auto" w:line="288" w:before="0" w:after="0"/>
        <w:rPr/>
      </w:pPr>
      <w:hyperlink w:anchor="i9a9401068034456ca0c46ddd2ff6760b_7">
        <w:r>
          <w:rPr>
            <w:rStyle w:val="InternetLink"/>
            <w:rFonts w:ascii="Times New Roman;sans-serif" w:hAnsi="Times New Roman;sans-serif"/>
            <w:b w:val="false"/>
            <w:color w:val="000000"/>
            <w:sz w:val="20"/>
          </w:rPr>
          <w:t>Table of Contents</w:t>
        </w:r>
      </w:hyperlink>
    </w:p>
    <w:p>
      <w:pPr>
        <w:pStyle w:val="TextBody"/>
        <w:spacing w:lineRule="auto" w:line="288" w:before="0" w:after="0"/>
        <w:rPr/>
      </w:pPr>
      <w:r>
        <w:rPr>
          <w:rFonts w:ascii="Times New Roman;sans-serif" w:hAnsi="Times New Roman;sans-serif"/>
          <w:b/>
          <w:color w:val="000000"/>
          <w:sz w:val="20"/>
        </w:rPr>
        <w:t>Item 6.</w:t>
      </w:r>
      <w:r>
        <w:rPr>
          <w:rFonts w:ascii="Times New Roman;sans-serif" w:hAnsi="Times New Roman;sans-serif"/>
          <w:b/>
          <w:color w:val="000000"/>
          <w:sz w:val="20"/>
        </w:rPr>
        <w:t>Exhibits</w:t>
      </w:r>
    </w:p>
    <w:tbl>
      <w:tblPr>
        <w:tblW w:w="10205" w:type="dxa"/>
        <w:jc w:val="center"/>
        <w:tblInd w:w="0" w:type="dxa"/>
        <w:tblCellMar>
          <w:top w:w="28" w:type="dxa"/>
          <w:left w:w="28" w:type="dxa"/>
          <w:bottom w:w="28" w:type="dxa"/>
          <w:right w:w="28" w:type="dxa"/>
        </w:tblCellMar>
      </w:tblPr>
      <w:tblGrid>
        <w:gridCol w:w="257"/>
        <w:gridCol w:w="227"/>
        <w:gridCol w:w="228"/>
        <w:gridCol w:w="109"/>
        <w:gridCol w:w="109"/>
        <w:gridCol w:w="109"/>
        <w:gridCol w:w="2766"/>
        <w:gridCol w:w="2646"/>
        <w:gridCol w:w="3754"/>
      </w:tblGrid>
      <w:tr>
        <w:trPr/>
        <w:tc>
          <w:tcPr>
            <w:tcW w:w="257"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66" w:type="dxa"/>
            <w:tcBorders/>
            <w:shd w:fill="auto" w:val="clear"/>
            <w:vAlign w:val="center"/>
          </w:tcPr>
          <w:p>
            <w:pPr>
              <w:pStyle w:val="TableContents"/>
              <w:spacing w:before="0" w:after="283"/>
              <w:rPr>
                <w:sz w:val="4"/>
                <w:szCs w:val="4"/>
              </w:rPr>
            </w:pPr>
            <w:r>
              <w:rPr>
                <w:sz w:val="4"/>
                <w:szCs w:val="4"/>
              </w:rPr>
            </w:r>
          </w:p>
        </w:tc>
        <w:tc>
          <w:tcPr>
            <w:tcW w:w="2646" w:type="dxa"/>
            <w:tcBorders/>
            <w:shd w:fill="auto" w:val="clear"/>
            <w:vAlign w:val="center"/>
          </w:tcPr>
          <w:p>
            <w:pPr>
              <w:pStyle w:val="TableContents"/>
              <w:spacing w:before="0" w:after="283"/>
              <w:rPr>
                <w:sz w:val="4"/>
                <w:szCs w:val="4"/>
              </w:rPr>
            </w:pPr>
            <w:r>
              <w:rPr>
                <w:sz w:val="4"/>
                <w:szCs w:val="4"/>
              </w:rPr>
            </w:r>
          </w:p>
        </w:tc>
        <w:tc>
          <w:tcPr>
            <w:tcW w:w="3754" w:type="dxa"/>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Exhibit No.</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Description</w:t>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
              <w:r>
                <w:rPr>
                  <w:rStyle w:val="InternetLink"/>
                  <w:rFonts w:ascii="Times New Roman;sans-serif" w:hAnsi="Times New Roman;sans-serif"/>
                  <w:b w:val="false"/>
                  <w:color w:val="0000FF"/>
                  <w:sz w:val="20"/>
                  <w:u w:val="single"/>
                </w:rPr>
                <w:t>3.1</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Restated Certificate of Incorporation of Flowserve Corporation, as amended and restated effective May 20, 2021 (incorporated by reference to Exhibit 3.1 to the Registrant’s Current Report on Form 8-K filed on May 25, 2021).</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4">
              <w:r>
                <w:rPr>
                  <w:rStyle w:val="InternetLink"/>
                  <w:rFonts w:ascii="Times New Roman;sans-serif" w:hAnsi="Times New Roman;sans-serif"/>
                  <w:b w:val="false"/>
                  <w:color w:val="0000FF"/>
                  <w:sz w:val="20"/>
                  <w:u w:val="single"/>
                </w:rPr>
                <w:t>3.2</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Flowserve Corporation By-Laws, as amended and restated effective April 12, 2023 (incorporated by reference to Exhibit 3.1 to the Registrant’s Current Report on Form 8-K filed on April 12, 2023).</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5">
              <w:r>
                <w:rPr>
                  <w:rStyle w:val="InternetLink"/>
                  <w:rFonts w:ascii="Times New Roman;sans-serif" w:hAnsi="Times New Roman;sans-serif"/>
                  <w:b w:val="false"/>
                  <w:color w:val="0000FF"/>
                  <w:sz w:val="20"/>
                  <w:u w:val="single"/>
                </w:rPr>
                <w:t>10.1</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6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First Amendment to Amended and Restated Credit Agreement, dated as of February 3, 2023, among Flowserve Corporation, Bank of American, N.A., as administrative agent, and the other lenders referred to therein (incorporated by reference to Exhibit 10.2 to the Registrant’s Annual Report on Form 10-K (File No. 001-13179) for the year ended December 31, 2022. </w:t>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6">
              <w:r>
                <w:rPr>
                  <w:rStyle w:val="InternetLink"/>
                  <w:rFonts w:ascii="Times New Roman;sans-serif" w:hAnsi="Times New Roman;sans-serif"/>
                  <w:b w:val="false"/>
                  <w:color w:val="0000FF"/>
                  <w:sz w:val="20"/>
                  <w:u w:val="single"/>
                </w:rPr>
                <w:t>10.2</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6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Form of 2023 Restricted Stock Unit Agreement for certain officers pursuant to the Flowserve Corporation 2020 Long-Term Incentive Plan (Annual Award) (incorporated by reference to Exhibit 10.21 to the Registrant’s Annual Report on Form 10-K (File No. 001-13179) for the year ended December 31, 2022.* </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7">
              <w:r>
                <w:rPr>
                  <w:rStyle w:val="InternetLink"/>
                  <w:rFonts w:ascii="Times New Roman;sans-serif" w:hAnsi="Times New Roman;sans-serif"/>
                  <w:b w:val="false"/>
                  <w:color w:val="0000FF"/>
                  <w:sz w:val="20"/>
                  <w:u w:val="single"/>
                </w:rPr>
                <w:t>10.3</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Form of 2023 Performance Restricted Stock Unit Agreement for certain officers pursuant to the Flowserve Corporation 2020 Long-Term Incentive Plan (incorporated by reference to Exhibit 10.26 to the Registrant’s Annual Report on Form 10-K (File No. 001-13179) for the year ended December 31, 2022.* </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fls3312023exhibit311.htm">
              <w:r>
                <w:rPr>
                  <w:rStyle w:val="InternetLink"/>
                  <w:rFonts w:ascii="Times New Roman;sans-serif" w:hAnsi="Times New Roman;sans-serif"/>
                  <w:b w:val="false"/>
                  <w:color w:val="0000FF"/>
                  <w:sz w:val="20"/>
                  <w:u w:val="single"/>
                </w:rPr>
                <w:t>31.1+</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Certification of Principal Executive Officer pursuant to Exchange Act Rules 13a-14(a) and 15d-14(a), as adopted pursuant to Section 302 of the Sarbanes-Oxley Act of 2002.</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fls3312023exhibit312.htm">
              <w:r>
                <w:rPr>
                  <w:rStyle w:val="InternetLink"/>
                  <w:rFonts w:ascii="Times New Roman;sans-serif" w:hAnsi="Times New Roman;sans-serif"/>
                  <w:b w:val="false"/>
                  <w:color w:val="0000FF"/>
                  <w:sz w:val="20"/>
                  <w:u w:val="single"/>
                </w:rPr>
                <w:t>31.2+</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Certification of Principal Financial Officer pursuant to Exchange Act Rules 13a-14(a) and 15d-14(a), as adopted pursuant to Section 302 of the Sarbanes-Oxley Act of 2002.</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fls3312023exhibit321.htm">
              <w:r>
                <w:rPr>
                  <w:rStyle w:val="InternetLink"/>
                  <w:rFonts w:ascii="Times New Roman;sans-serif" w:hAnsi="Times New Roman;sans-serif"/>
                  <w:b w:val="false"/>
                  <w:color w:val="0000FF"/>
                  <w:sz w:val="20"/>
                  <w:u w:val="single"/>
                </w:rPr>
                <w:t>32.1++</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Certification of Principal Executive Officer pursuant to 18 U.S.C. Section 1350, as adopted pursuant to Section 906 of the Sarbanes-Oxley Act of 2002.</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fls3312023exhibit322.htm">
              <w:r>
                <w:rPr>
                  <w:rStyle w:val="InternetLink"/>
                  <w:rFonts w:ascii="Times New Roman;sans-serif" w:hAnsi="Times New Roman;sans-serif"/>
                  <w:b w:val="false"/>
                  <w:color w:val="0000FF"/>
                  <w:sz w:val="20"/>
                  <w:u w:val="single"/>
                </w:rPr>
                <w:t>32.2++</w:t>
              </w:r>
            </w:hyperlink>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Certification of Principal Financial Officer pursuant to 18 U.S.C. Section 1350, as adopted pursuant to Section 906 of the Sarbanes-Oxley Act of 2002.</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66" w:type="dxa"/>
            <w:gridSpan w:val="3"/>
            <w:tcBorders/>
            <w:shd w:fill="auto" w:val="cle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101.INS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XBRL Instance Document - the instance document does not appear in the Interactive Data File because its XBRL tags are embedded within the Inline XBRL document.</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101.SCH</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XBRL Taxonomy Extension Schema Document</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101.CAL</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XBRL Taxonomy Extension Calculation Linkbase Document</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101.LAB</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XBRL Taxonomy Extension Label Linkbase Document</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101.PRE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XBRL Taxonomy Extension Presentation Linkbase Document</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101.DEF</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XBRL Taxonomy Extension Definition Linkbase Document</w:t>
            </w:r>
          </w:p>
        </w:tc>
      </w:tr>
      <w:tr>
        <w:trPr/>
        <w:tc>
          <w:tcPr>
            <w:tcW w:w="71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1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104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The cover page from the Company’s Quarterly Report on Form 10-Q for the period ended March 31, 2023, formatted in Inline XBRL (included as Exhibit 101)</w:t>
            </w:r>
          </w:p>
        </w:tc>
      </w:tr>
    </w:tbl>
    <w:p>
      <w:pPr>
        <w:pStyle w:val="TextBody"/>
        <w:spacing w:lineRule="auto" w:line="288" w:before="0" w:after="0"/>
        <w:ind w:left="0" w:right="0" w:hanging="540"/>
        <w:rPr>
          <w:rFonts w:ascii="Times New Roman;sans-serif" w:hAnsi="Times New Roman;sans-serif"/>
          <w:b w:val="false"/>
          <w:color w:val="000000"/>
          <w:sz w:val="20"/>
        </w:rPr>
      </w:pPr>
      <w:r>
        <w:rPr>
          <w:rFonts w:ascii="Times New Roman;sans-serif" w:hAnsi="Times New Roman;sans-serif"/>
          <w:b w:val="false"/>
          <w:color w:val="000000"/>
          <w:sz w:val="20"/>
        </w:rPr>
        <w:t>_______________________</w:t>
      </w:r>
    </w:p>
    <w:p>
      <w:pPr>
        <w:pStyle w:val="TextBody"/>
        <w:spacing w:lineRule="auto" w:line="268" w:before="0" w:after="0"/>
        <w:ind w:left="0" w:right="0" w:hanging="90"/>
        <w:rPr>
          <w:rFonts w:ascii="Times New Roman;sans-serif" w:hAnsi="Times New Roman;sans-serif"/>
          <w:b w:val="false"/>
          <w:color w:val="000000"/>
          <w:sz w:val="20"/>
        </w:rPr>
      </w:pPr>
      <w:r>
        <w:rPr>
          <w:rFonts w:ascii="Times New Roman;sans-serif" w:hAnsi="Times New Roman;sans-serif"/>
          <w:b w:val="false"/>
          <w:color w:val="000000"/>
          <w:sz w:val="20"/>
        </w:rPr>
        <w:t xml:space="preserve">*Management contracts and compensatory plans and arrangements required to be filed as exhibits to this Quarterly Report on Form 10-Q. </w:t>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     Filed herewith.</w:t>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 xml:space="preserve">++ Furnished herewith.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40">
                <wp:simplePos x="0" y="0"/>
                <wp:positionH relativeFrom="character">
                  <wp:align>left</wp:align>
                </wp:positionH>
                <wp:positionV relativeFrom="line">
                  <wp:posOffset>635</wp:posOffset>
                </wp:positionV>
                <wp:extent cx="6480175" cy="351155"/>
                <wp:effectExtent l="0" t="0" r="0" b="0"/>
                <wp:wrapNone/>
                <wp:docPr id="39" name="Frame3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33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33</w:t>
                      </w:r>
                    </w:p>
                    <w:p>
                      <w:pPr>
                        <w:pStyle w:val="TextBody"/>
                        <w:spacing w:before="0" w:after="0"/>
                        <w:jc w:val="center"/>
                        <w:rPr/>
                      </w:pPr>
                      <w:r>
                        <w:rPr/>
                      </w:r>
                    </w:p>
                  </w:txbxContent>
                </v:textbox>
              </v:rect>
            </w:pict>
          </mc:Fallback>
        </mc:AlternateContent>
      </w:r>
    </w:p>
    <w:p>
      <w:pPr>
        <w:pStyle w:val="TextBody"/>
        <w:spacing w:lineRule="auto" w:line="288" w:before="0" w:after="0"/>
        <w:jc w:val="both"/>
        <w:rPr/>
      </w:pPr>
      <w:hyperlink w:anchor="i9a9401068034456ca0c46ddd2ff6760b_7">
        <w:r>
          <w:rPr>
            <w:rStyle w:val="InternetLink"/>
            <w:rFonts w:ascii="Times New Roman;sans-serif" w:hAnsi="Times New Roman;sans-serif"/>
            <w:b w:val="false"/>
            <w:strike w:val="false"/>
            <w:dstrike w:val="false"/>
            <w:color w:val="000000"/>
            <w:sz w:val="20"/>
            <w:u w:val="none"/>
            <w:effect w:val="none"/>
          </w:rPr>
          <w:t>Table of Contents</w:t>
        </w:r>
      </w:hyperlink>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SIGNATURES</w:t>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Pursuant to the requirements of the Securities Exchange Act of 1934, the Registrant has duly caused this report to be signed on its behalf by the undersigned thereunto duly authorized.</w:t>
      </w:r>
    </w:p>
    <w:tbl>
      <w:tblPr>
        <w:tblW w:w="3755" w:type="dxa"/>
        <w:jc w:val="center"/>
        <w:tblInd w:w="0" w:type="dxa"/>
        <w:tblCellMar>
          <w:top w:w="28" w:type="dxa"/>
          <w:left w:w="28" w:type="dxa"/>
          <w:bottom w:w="28" w:type="dxa"/>
          <w:right w:w="28" w:type="dxa"/>
        </w:tblCellMar>
      </w:tblPr>
      <w:tblGrid>
        <w:gridCol w:w="124"/>
        <w:gridCol w:w="109"/>
        <w:gridCol w:w="109"/>
        <w:gridCol w:w="109"/>
        <w:gridCol w:w="109"/>
        <w:gridCol w:w="109"/>
        <w:gridCol w:w="904"/>
        <w:gridCol w:w="904"/>
        <w:gridCol w:w="906"/>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04" w:type="dxa"/>
            <w:tcBorders/>
            <w:shd w:fill="auto" w:val="clear"/>
            <w:vAlign w:val="center"/>
          </w:tcPr>
          <w:p>
            <w:pPr>
              <w:pStyle w:val="TableContents"/>
              <w:spacing w:before="0" w:after="283"/>
              <w:rPr>
                <w:sz w:val="4"/>
                <w:szCs w:val="4"/>
              </w:rPr>
            </w:pPr>
            <w:r>
              <w:rPr>
                <w:sz w:val="4"/>
                <w:szCs w:val="4"/>
              </w:rPr>
            </w:r>
          </w:p>
        </w:tc>
        <w:tc>
          <w:tcPr>
            <w:tcW w:w="904"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271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FLOWSERVE CORPORATION </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714" w:type="dxa"/>
            <w:gridSpan w:val="3"/>
            <w:tcBorders/>
            <w:shd w:fill="auto" w:val="clear"/>
            <w:vAlign w:val="center"/>
          </w:tcPr>
          <w:p>
            <w:pPr>
              <w:pStyle w:val="TableContents"/>
              <w:spacing w:before="0" w:after="283"/>
              <w:rPr>
                <w:sz w:val="4"/>
                <w:szCs w:val="4"/>
              </w:rPr>
            </w:pPr>
            <w:r>
              <w:rPr>
                <w:sz w:val="4"/>
                <w:szCs w:val="4"/>
              </w:rPr>
            </w:r>
          </w:p>
        </w:tc>
        <w:tc>
          <w:tcPr>
            <w:tcW w:w="372" w:type="dxa"/>
            <w:gridSpan w:val="3"/>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714" w:type="dxa"/>
            <w:gridSpan w:val="3"/>
            <w:tcBorders/>
            <w:shd w:fill="auto" w:val="clear"/>
            <w:vAlign w:val="center"/>
          </w:tcPr>
          <w:p>
            <w:pPr>
              <w:pStyle w:val="TableContents"/>
              <w:spacing w:before="0" w:after="283"/>
              <w:rPr>
                <w:sz w:val="4"/>
                <w:szCs w:val="4"/>
              </w:rPr>
            </w:pPr>
            <w:r>
              <w:rPr>
                <w:sz w:val="4"/>
                <w:szCs w:val="4"/>
              </w:rPr>
            </w:r>
          </w:p>
        </w:tc>
        <w:tc>
          <w:tcPr>
            <w:tcW w:w="372" w:type="dxa"/>
            <w:gridSpan w:val="3"/>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714" w:type="dxa"/>
            <w:gridSpan w:val="3"/>
            <w:tcBorders/>
            <w:shd w:fill="auto" w:val="clear"/>
            <w:vAlign w:val="center"/>
          </w:tcPr>
          <w:p>
            <w:pPr>
              <w:pStyle w:val="TableContents"/>
              <w:spacing w:before="0" w:after="283"/>
              <w:rPr>
                <w:sz w:val="4"/>
                <w:szCs w:val="4"/>
              </w:rPr>
            </w:pPr>
            <w:r>
              <w:rPr>
                <w:sz w:val="4"/>
                <w:szCs w:val="4"/>
              </w:rPr>
            </w:r>
          </w:p>
        </w:tc>
        <w:tc>
          <w:tcPr>
            <w:tcW w:w="372" w:type="dxa"/>
            <w:gridSpan w:val="3"/>
            <w:tcBorders/>
            <w:shd w:fill="auto" w:val="clear"/>
            <w:vAlign w:val="center"/>
          </w:tcPr>
          <w:p>
            <w:pPr>
              <w:pStyle w:val="TableContents"/>
              <w:spacing w:before="0" w:after="283"/>
              <w:rPr>
                <w:sz w:val="4"/>
                <w:szCs w:val="4"/>
              </w:rPr>
            </w:pPr>
            <w:r>
              <w:rPr>
                <w:sz w:val="4"/>
                <w:szCs w:val="4"/>
              </w:rPr>
            </w:r>
          </w:p>
        </w:tc>
      </w:tr>
    </w:tbl>
    <w:tbl>
      <w:tblPr>
        <w:tblW w:w="6160" w:type="dxa"/>
        <w:jc w:val="center"/>
        <w:tblInd w:w="0" w:type="dxa"/>
        <w:tblCellMar>
          <w:top w:w="28" w:type="dxa"/>
          <w:left w:w="28" w:type="dxa"/>
          <w:bottom w:w="28" w:type="dxa"/>
          <w:right w:w="28" w:type="dxa"/>
        </w:tblCellMar>
      </w:tblPr>
      <w:tblGrid>
        <w:gridCol w:w="200"/>
        <w:gridCol w:w="177"/>
        <w:gridCol w:w="178"/>
        <w:gridCol w:w="379"/>
        <w:gridCol w:w="379"/>
        <w:gridCol w:w="381"/>
        <w:gridCol w:w="1363"/>
        <w:gridCol w:w="1363"/>
        <w:gridCol w:w="1368"/>
        <w:gridCol w:w="109"/>
        <w:gridCol w:w="109"/>
        <w:gridCol w:w="154"/>
      </w:tblGrid>
      <w:tr>
        <w:trPr/>
        <w:tc>
          <w:tcPr>
            <w:tcW w:w="200"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381" w:type="dxa"/>
            <w:tcBorders/>
            <w:shd w:fill="auto" w:val="clear"/>
            <w:vAlign w:val="center"/>
          </w:tcPr>
          <w:p>
            <w:pPr>
              <w:pStyle w:val="TableContents"/>
              <w:spacing w:before="0" w:after="283"/>
              <w:rPr>
                <w:sz w:val="4"/>
                <w:szCs w:val="4"/>
              </w:rPr>
            </w:pPr>
            <w:r>
              <w:rPr>
                <w:sz w:val="4"/>
                <w:szCs w:val="4"/>
              </w:rPr>
            </w:r>
          </w:p>
        </w:tc>
        <w:tc>
          <w:tcPr>
            <w:tcW w:w="1363" w:type="dxa"/>
            <w:tcBorders/>
            <w:shd w:fill="auto" w:val="clear"/>
            <w:vAlign w:val="center"/>
          </w:tcPr>
          <w:p>
            <w:pPr>
              <w:pStyle w:val="TableContents"/>
              <w:spacing w:before="0" w:after="283"/>
              <w:rPr>
                <w:sz w:val="4"/>
                <w:szCs w:val="4"/>
              </w:rPr>
            </w:pPr>
            <w:r>
              <w:rPr>
                <w:sz w:val="4"/>
                <w:szCs w:val="4"/>
              </w:rPr>
            </w:r>
          </w:p>
        </w:tc>
        <w:tc>
          <w:tcPr>
            <w:tcW w:w="1363" w:type="dxa"/>
            <w:tcBorders/>
            <w:shd w:fill="auto" w:val="clear"/>
            <w:vAlign w:val="center"/>
          </w:tcPr>
          <w:p>
            <w:pPr>
              <w:pStyle w:val="TableContents"/>
              <w:spacing w:before="0" w:after="283"/>
              <w:rPr>
                <w:sz w:val="4"/>
                <w:szCs w:val="4"/>
              </w:rPr>
            </w:pPr>
            <w:r>
              <w:rPr>
                <w:sz w:val="4"/>
                <w:szCs w:val="4"/>
              </w:rPr>
            </w:r>
          </w:p>
        </w:tc>
        <w:tc>
          <w:tcPr>
            <w:tcW w:w="136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Date:</w:t>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May 1, 2023</w:t>
            </w:r>
          </w:p>
        </w:tc>
        <w:tc>
          <w:tcPr>
            <w:tcW w:w="40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 xml:space="preserve">/s/ Amy B. Schwetz </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409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Amy B. Schwetz</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40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Senior Vice President and Chief Financial Officer</w:t>
              <w:br/>
              <w:t>(Principal Financial Officer) </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tbl>
      <w:tblPr>
        <w:tblW w:w="5785" w:type="dxa"/>
        <w:jc w:val="center"/>
        <w:tblInd w:w="0" w:type="dxa"/>
        <w:tblCellMar>
          <w:top w:w="28" w:type="dxa"/>
          <w:left w:w="28" w:type="dxa"/>
          <w:bottom w:w="28" w:type="dxa"/>
          <w:right w:w="28" w:type="dxa"/>
        </w:tblCellMar>
      </w:tblPr>
      <w:tblGrid>
        <w:gridCol w:w="200"/>
        <w:gridCol w:w="177"/>
        <w:gridCol w:w="178"/>
        <w:gridCol w:w="379"/>
        <w:gridCol w:w="379"/>
        <w:gridCol w:w="381"/>
        <w:gridCol w:w="1237"/>
        <w:gridCol w:w="1237"/>
        <w:gridCol w:w="1245"/>
        <w:gridCol w:w="109"/>
        <w:gridCol w:w="109"/>
        <w:gridCol w:w="154"/>
      </w:tblGrid>
      <w:tr>
        <w:trPr/>
        <w:tc>
          <w:tcPr>
            <w:tcW w:w="200"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381" w:type="dxa"/>
            <w:tcBorders/>
            <w:shd w:fill="auto" w:val="clear"/>
            <w:vAlign w:val="center"/>
          </w:tcPr>
          <w:p>
            <w:pPr>
              <w:pStyle w:val="TableContents"/>
              <w:spacing w:before="0" w:after="283"/>
              <w:rPr>
                <w:sz w:val="4"/>
                <w:szCs w:val="4"/>
              </w:rPr>
            </w:pPr>
            <w:r>
              <w:rPr>
                <w:sz w:val="4"/>
                <w:szCs w:val="4"/>
              </w:rPr>
            </w:r>
          </w:p>
        </w:tc>
        <w:tc>
          <w:tcPr>
            <w:tcW w:w="1237" w:type="dxa"/>
            <w:tcBorders/>
            <w:shd w:fill="auto" w:val="clear"/>
            <w:vAlign w:val="center"/>
          </w:tcPr>
          <w:p>
            <w:pPr>
              <w:pStyle w:val="TableContents"/>
              <w:spacing w:before="0" w:after="283"/>
              <w:rPr>
                <w:sz w:val="4"/>
                <w:szCs w:val="4"/>
              </w:rPr>
            </w:pPr>
            <w:r>
              <w:rPr>
                <w:sz w:val="4"/>
                <w:szCs w:val="4"/>
              </w:rPr>
            </w:r>
          </w:p>
        </w:tc>
        <w:tc>
          <w:tcPr>
            <w:tcW w:w="1237" w:type="dxa"/>
            <w:tcBorders/>
            <w:shd w:fill="auto" w:val="clear"/>
            <w:vAlign w:val="center"/>
          </w:tcPr>
          <w:p>
            <w:pPr>
              <w:pStyle w:val="TableContents"/>
              <w:spacing w:before="0" w:after="283"/>
              <w:rPr>
                <w:sz w:val="4"/>
                <w:szCs w:val="4"/>
              </w:rPr>
            </w:pPr>
            <w:r>
              <w:rPr>
                <w:sz w:val="4"/>
                <w:szCs w:val="4"/>
              </w:rPr>
            </w:r>
          </w:p>
        </w:tc>
        <w:tc>
          <w:tcPr>
            <w:tcW w:w="124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55" w:type="dxa"/>
            <w:gridSpan w:val="3"/>
            <w:tcBorders/>
            <w:shd w:fill="auto" w:val="clear"/>
            <w:vAlign w:val="center"/>
          </w:tcPr>
          <w:p>
            <w:pPr>
              <w:pStyle w:val="TableContents"/>
              <w:spacing w:before="0" w:after="283"/>
              <w:rPr>
                <w:sz w:val="4"/>
                <w:szCs w:val="4"/>
              </w:rPr>
            </w:pPr>
            <w:r>
              <w:rPr>
                <w:sz w:val="4"/>
                <w:szCs w:val="4"/>
              </w:rPr>
            </w:r>
          </w:p>
        </w:tc>
        <w:tc>
          <w:tcPr>
            <w:tcW w:w="1139" w:type="dxa"/>
            <w:gridSpan w:val="3"/>
            <w:tcBorders/>
            <w:shd w:fill="auto" w:val="clear"/>
            <w:vAlign w:val="center"/>
          </w:tcPr>
          <w:p>
            <w:pPr>
              <w:pStyle w:val="TableContents"/>
              <w:spacing w:before="0" w:after="283"/>
              <w:rPr>
                <w:sz w:val="4"/>
                <w:szCs w:val="4"/>
              </w:rPr>
            </w:pPr>
            <w:r>
              <w:rPr>
                <w:sz w:val="4"/>
                <w:szCs w:val="4"/>
              </w:rPr>
            </w:r>
          </w:p>
        </w:tc>
        <w:tc>
          <w:tcPr>
            <w:tcW w:w="3719" w:type="dxa"/>
            <w:gridSpan w:val="3"/>
            <w:tcBorders/>
            <w:shd w:fill="auto" w:val="clear"/>
            <w:vAlign w:val="center"/>
          </w:tcPr>
          <w:p>
            <w:pPr>
              <w:pStyle w:val="TableContents"/>
              <w:spacing w:before="0" w:after="283"/>
              <w:rPr>
                <w:sz w:val="4"/>
                <w:szCs w:val="4"/>
              </w:rPr>
            </w:pPr>
            <w:r>
              <w:rPr>
                <w:sz w:val="4"/>
                <w:szCs w:val="4"/>
              </w:rPr>
            </w:r>
          </w:p>
        </w:tc>
        <w:tc>
          <w:tcPr>
            <w:tcW w:w="372" w:type="dxa"/>
            <w:gridSpan w:val="3"/>
            <w:tcBorders/>
            <w:shd w:fill="auto" w:val="cle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1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Date:</w:t>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May 1, 2023</w:t>
            </w:r>
          </w:p>
        </w:tc>
        <w:tc>
          <w:tcPr>
            <w:tcW w:w="37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Scott K. Vopni</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71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Scott K. Vopni</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7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Vice President and Chief Accounting Officer</w:t>
              <w:br/>
              <w:t>(Principal Accounting Officer) </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41">
                <wp:simplePos x="0" y="0"/>
                <wp:positionH relativeFrom="character">
                  <wp:align>left</wp:align>
                </wp:positionH>
                <wp:positionV relativeFrom="line">
                  <wp:posOffset>635</wp:posOffset>
                </wp:positionV>
                <wp:extent cx="6480175" cy="351155"/>
                <wp:effectExtent l="0" t="0" r="0" b="0"/>
                <wp:wrapNone/>
                <wp:docPr id="40" name="Frame3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34</w:t>
                      </w:r>
                    </w:p>
                    <w:p>
                      <w:pPr>
                        <w:pStyle w:val="TextBody"/>
                        <w:spacing w:before="0" w:after="0"/>
                        <w:jc w:val="center"/>
                        <w:rPr/>
                      </w:pPr>
                      <w:r>
                        <w:rPr/>
                      </w:r>
                    </w:p>
                  </w:txbxContent>
                </v:textbox>
              </v:rect>
            </w:pict>
          </mc:Fallback>
        </mc:AlternateContent>
      </w:r>
    </w:p>
    <w:p>
      <w:pPr>
        <w:pStyle w:val="TextBody"/>
        <w:spacing w:lineRule="auto" w:line="288" w:before="60" w:after="283"/>
        <w:jc w:val="right"/>
        <w:rPr>
          <w:rFonts w:ascii="Times New Roman;sans-serif" w:hAnsi="Times New Roman;sans-serif"/>
          <w:b/>
          <w:color w:val="000000"/>
          <w:sz w:val="20"/>
        </w:rPr>
      </w:pPr>
      <w:r>
        <w:rPr>
          <w:rFonts w:ascii="Times New Roman;sans-serif" w:hAnsi="Times New Roman;sans-serif"/>
          <w:b/>
          <w:color w:val="000000"/>
          <w:sz w:val="20"/>
        </w:rPr>
        <w:t>EXHIBIT 31.1</w:t>
      </w:r>
    </w:p>
    <w:p>
      <w:pPr>
        <w:pStyle w:val="TextBody"/>
        <w:spacing w:before="60" w:after="283"/>
        <w:jc w:val="center"/>
        <w:rPr/>
      </w:pPr>
      <w:r>
        <w:rPr/>
      </w:r>
    </w:p>
    <w:p>
      <w:pPr>
        <w:pStyle w:val="TextBody"/>
        <w:spacing w:lineRule="auto" w:line="288" w:before="60" w:after="283"/>
        <w:jc w:val="center"/>
        <w:rPr>
          <w:rFonts w:ascii="Times New Roman;sans-serif" w:hAnsi="Times New Roman;sans-serif"/>
          <w:b/>
          <w:color w:val="000000"/>
          <w:sz w:val="20"/>
        </w:rPr>
      </w:pPr>
      <w:r>
        <w:rPr>
          <w:rFonts w:ascii="Times New Roman;sans-serif" w:hAnsi="Times New Roman;sans-serif"/>
          <w:b/>
          <w:color w:val="000000"/>
          <w:sz w:val="20"/>
        </w:rPr>
        <w:t>CERTIFICATION OF PRINCIPAL EXECUTIVE OFFICER</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PURSUANT TO SECTION 302</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OF THE SARBANES-OXLEY ACT OF 2002</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I, R. Scott Rowe, certify that:</w:t>
      </w:r>
    </w:p>
    <w:p>
      <w:pPr>
        <w:pStyle w:val="TextBody"/>
        <w:spacing w:lineRule="auto" w:line="288" w:before="120" w:after="283"/>
        <w:jc w:val="both"/>
        <w:rPr/>
      </w:pPr>
      <w:r>
        <w:rPr>
          <w:rFonts w:ascii="Times New Roman;sans-serif" w:hAnsi="Times New Roman;sans-serif"/>
          <w:b w:val="false"/>
          <w:color w:val="000000"/>
          <w:sz w:val="20"/>
        </w:rPr>
        <w:t xml:space="preserve">1. I have reviewed this Quarterly Report on Form 10-Q for the fiscal quarter ended </w:t>
      </w:r>
      <w:r>
        <w:rPr>
          <w:rFonts w:ascii="Times New Roman;sans-serif" w:hAnsi="Times New Roman;sans-serif"/>
          <w:b w:val="false"/>
          <w:color w:val="000000"/>
          <w:sz w:val="20"/>
          <w:highlight w:val="white"/>
        </w:rPr>
        <w:t>March 31, 2023</w:t>
      </w:r>
      <w:r>
        <w:rPr>
          <w:color w:val="000000"/>
        </w:rPr>
        <w:t xml:space="preserve"> </w:t>
      </w:r>
      <w:r>
        <w:rPr>
          <w:rFonts w:ascii="Times New Roman;sans-serif" w:hAnsi="Times New Roman;sans-serif"/>
          <w:b w:val="false"/>
          <w:color w:val="000000"/>
          <w:sz w:val="20"/>
        </w:rPr>
        <w:t>of Flowserve Corporation;</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5. 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(b) Any fraud, whether or not material, that involves management or other employees who have a significant role in the registrant’s internal control over financial reporting.</w:t>
      </w:r>
    </w:p>
    <w:p>
      <w:pPr>
        <w:pStyle w:val="TextBody"/>
        <w:spacing w:before="120" w:after="283"/>
        <w:rPr/>
      </w:pPr>
      <w:r>
        <w:rPr/>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Date: May 1, 2023</w:t>
      </w:r>
    </w:p>
    <w:tbl>
      <w:tblPr>
        <w:tblW w:w="3218" w:type="dxa"/>
        <w:jc w:val="left"/>
        <w:tblInd w:w="0" w:type="dxa"/>
        <w:tblCellMar>
          <w:top w:w="28" w:type="dxa"/>
          <w:left w:w="28" w:type="dxa"/>
          <w:bottom w:w="28" w:type="dxa"/>
          <w:right w:w="28" w:type="dxa"/>
        </w:tblCellMar>
      </w:tblPr>
      <w:tblGrid>
        <w:gridCol w:w="383"/>
        <w:gridCol w:w="337"/>
        <w:gridCol w:w="337"/>
        <w:gridCol w:w="337"/>
        <w:gridCol w:w="337"/>
        <w:gridCol w:w="337"/>
        <w:gridCol w:w="337"/>
        <w:gridCol w:w="337"/>
        <w:gridCol w:w="476"/>
      </w:tblGrid>
      <w:tr>
        <w:trPr/>
        <w:tc>
          <w:tcPr>
            <w:tcW w:w="383"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476" w:type="dxa"/>
            <w:tcBorders/>
            <w:shd w:fill="auto" w:val="clear"/>
            <w:vAlign w:val="center"/>
          </w:tcPr>
          <w:p>
            <w:pPr>
              <w:pStyle w:val="TableContents"/>
              <w:spacing w:before="0" w:after="283"/>
              <w:rPr>
                <w:sz w:val="4"/>
                <w:szCs w:val="4"/>
              </w:rPr>
            </w:pPr>
            <w:r>
              <w:rPr>
                <w:sz w:val="4"/>
                <w:szCs w:val="4"/>
              </w:rPr>
            </w:r>
          </w:p>
        </w:tc>
      </w:tr>
      <w:tr>
        <w:trPr/>
        <w:tc>
          <w:tcPr>
            <w:tcW w:w="105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01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11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3218"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3218" w:type="dxa"/>
            <w:gridSpan w:val="9"/>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R. Scott Rowe</w:t>
            </w:r>
          </w:p>
        </w:tc>
      </w:tr>
      <w:tr>
        <w:trPr/>
        <w:tc>
          <w:tcPr>
            <w:tcW w:w="3218" w:type="dxa"/>
            <w:gridSpan w:val="9"/>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 Scott Rowe</w:t>
            </w:r>
          </w:p>
        </w:tc>
      </w:tr>
      <w:tr>
        <w:trPr/>
        <w:tc>
          <w:tcPr>
            <w:tcW w:w="3218"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President and Chief Executive Officer</w:t>
              <w:br/>
              <w:t>(Principal Executive Officer) </w:t>
            </w:r>
          </w:p>
        </w:tc>
      </w:tr>
    </w:tbl>
    <w:p>
      <w:pPr>
        <w:pStyle w:val="TextBody"/>
        <w:rPr/>
      </w:pPr>
      <w:r>
        <w:rPr/>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42">
                <wp:simplePos x="0" y="0"/>
                <wp:positionH relativeFrom="character">
                  <wp:align>left</wp:align>
                </wp:positionH>
                <wp:positionV relativeFrom="line">
                  <wp:posOffset>635</wp:posOffset>
                </wp:positionV>
                <wp:extent cx="6480175" cy="175260"/>
                <wp:effectExtent l="0" t="0" r="0" b="0"/>
                <wp:wrapNone/>
                <wp:docPr id="41" name="Frame40"/>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jc w:val="center"/>
                        <w:rPr/>
                      </w:pPr>
                      <w:r>
                        <w:rPr/>
                      </w:r>
                    </w:p>
                  </w:txbxContent>
                </v:textbox>
              </v:rect>
            </w:pict>
          </mc:Fallback>
        </mc:AlternateContent>
      </w:r>
    </w:p>
    <w:p>
      <w:pPr>
        <w:pStyle w:val="TextBody"/>
        <w:spacing w:lineRule="auto" w:line="288" w:before="240" w:after="283"/>
        <w:jc w:val="right"/>
        <w:rPr>
          <w:rFonts w:ascii="Times New Roman;sans-serif" w:hAnsi="Times New Roman;sans-serif"/>
          <w:b/>
          <w:color w:val="000000"/>
          <w:sz w:val="20"/>
        </w:rPr>
      </w:pPr>
      <w:r>
        <w:rPr>
          <w:rFonts w:ascii="Times New Roman;sans-serif" w:hAnsi="Times New Roman;sans-serif"/>
          <w:b/>
          <w:color w:val="000000"/>
          <w:sz w:val="20"/>
        </w:rPr>
        <w:t>EXHIBIT 31.2</w:t>
      </w:r>
    </w:p>
    <w:p>
      <w:pPr>
        <w:pStyle w:val="TextBody"/>
        <w:spacing w:before="0" w:after="0"/>
        <w:jc w:val="center"/>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CERTIFICATION OF PRINCIPAL FINANCIAL OFFICER</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PURSUANT TO SECTION 302</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OF THE SARBANES-OXLEY ACT OF 2002</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I, Amy B. Schwetz, certify that:</w:t>
      </w:r>
    </w:p>
    <w:p>
      <w:pPr>
        <w:pStyle w:val="TextBody"/>
        <w:spacing w:lineRule="auto" w:line="288" w:before="120" w:after="283"/>
        <w:jc w:val="both"/>
        <w:rPr/>
      </w:pPr>
      <w:r>
        <w:rPr>
          <w:rFonts w:ascii="Times New Roman;sans-serif" w:hAnsi="Times New Roman;sans-serif"/>
          <w:b w:val="false"/>
          <w:color w:val="000000"/>
          <w:sz w:val="20"/>
        </w:rPr>
        <w:t xml:space="preserve">1. I have reviewed this Quarterly Report on Form 10-Q for the fiscal quarter ended </w:t>
      </w:r>
      <w:r>
        <w:rPr>
          <w:rFonts w:ascii="Times New Roman;sans-serif" w:hAnsi="Times New Roman;sans-serif"/>
          <w:b w:val="false"/>
          <w:color w:val="000000"/>
          <w:sz w:val="20"/>
          <w:highlight w:val="white"/>
        </w:rPr>
        <w:t>March 31, 2023</w:t>
      </w:r>
      <w:r>
        <w:rPr>
          <w:color w:val="000000"/>
        </w:rPr>
        <w:t xml:space="preserve"> </w:t>
      </w:r>
      <w:r>
        <w:rPr>
          <w:rFonts w:ascii="Times New Roman;sans-serif" w:hAnsi="Times New Roman;sans-serif"/>
          <w:b w:val="false"/>
          <w:color w:val="000000"/>
          <w:sz w:val="20"/>
        </w:rPr>
        <w:t>of Flowserve Corporation;</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5. 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spacing w:lineRule="auto" w:line="288" w:before="120" w:after="283"/>
        <w:jc w:val="both"/>
        <w:rPr>
          <w:rFonts w:ascii="Times New Roman;sans-serif" w:hAnsi="Times New Roman;sans-serif"/>
          <w:b w:val="false"/>
          <w:color w:val="000000"/>
          <w:sz w:val="20"/>
        </w:rPr>
      </w:pPr>
      <w:r>
        <w:rPr>
          <w:rFonts w:ascii="Times New Roman;sans-serif" w:hAnsi="Times New Roman;sans-serif"/>
          <w:b w:val="false"/>
          <w:color w:val="000000"/>
          <w:sz w:val="20"/>
        </w:rPr>
        <w:t>(b) Any fraud, whether or not material, that involves management or other employees who have a significant role in the registrant’s internal control over financial reporting.</w:t>
      </w:r>
    </w:p>
    <w:p>
      <w:pPr>
        <w:pStyle w:val="TextBody"/>
        <w:spacing w:before="120" w:after="283"/>
        <w:rPr/>
      </w:pPr>
      <w:r>
        <w:rPr/>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Date: May 1, 2023</w:t>
      </w:r>
    </w:p>
    <w:tbl>
      <w:tblPr>
        <w:tblW w:w="4154" w:type="dxa"/>
        <w:jc w:val="left"/>
        <w:tblInd w:w="0" w:type="dxa"/>
        <w:tblCellMar>
          <w:top w:w="28" w:type="dxa"/>
          <w:left w:w="28" w:type="dxa"/>
          <w:bottom w:w="28" w:type="dxa"/>
          <w:right w:w="28" w:type="dxa"/>
        </w:tblCellMar>
      </w:tblPr>
      <w:tblGrid>
        <w:gridCol w:w="1328"/>
        <w:gridCol w:w="1166"/>
        <w:gridCol w:w="1660"/>
      </w:tblGrid>
      <w:tr>
        <w:trPr/>
        <w:tc>
          <w:tcPr>
            <w:tcW w:w="1328" w:type="dxa"/>
            <w:tcBorders/>
            <w:shd w:fill="auto" w:val="clear"/>
            <w:vAlign w:val="center"/>
          </w:tcPr>
          <w:p>
            <w:pPr>
              <w:pStyle w:val="TableContents"/>
              <w:spacing w:before="0" w:after="283"/>
              <w:rPr>
                <w:sz w:val="4"/>
                <w:szCs w:val="4"/>
              </w:rPr>
            </w:pPr>
            <w:r>
              <w:rPr>
                <w:sz w:val="4"/>
                <w:szCs w:val="4"/>
              </w:rPr>
            </w:r>
          </w:p>
        </w:tc>
        <w:tc>
          <w:tcPr>
            <w:tcW w:w="1166" w:type="dxa"/>
            <w:tcBorders/>
            <w:shd w:fill="auto" w:val="clear"/>
            <w:vAlign w:val="center"/>
          </w:tcPr>
          <w:p>
            <w:pPr>
              <w:pStyle w:val="TableContents"/>
              <w:spacing w:before="0" w:after="283"/>
              <w:rPr>
                <w:sz w:val="4"/>
                <w:szCs w:val="4"/>
              </w:rPr>
            </w:pPr>
            <w:r>
              <w:rPr>
                <w:sz w:val="4"/>
                <w:szCs w:val="4"/>
              </w:rPr>
            </w:r>
          </w:p>
        </w:tc>
        <w:tc>
          <w:tcPr>
            <w:tcW w:w="1660" w:type="dxa"/>
            <w:tcBorders/>
            <w:shd w:fill="auto" w:val="clear"/>
            <w:vAlign w:val="center"/>
          </w:tcPr>
          <w:p>
            <w:pPr>
              <w:pStyle w:val="TableContents"/>
              <w:spacing w:before="0" w:after="283"/>
              <w:rPr>
                <w:sz w:val="4"/>
                <w:szCs w:val="4"/>
              </w:rPr>
            </w:pPr>
            <w:r>
              <w:rPr>
                <w:sz w:val="4"/>
                <w:szCs w:val="4"/>
              </w:rPr>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Amy B. Schwetz</w:t>
            </w:r>
          </w:p>
        </w:tc>
      </w:tr>
      <w:tr>
        <w:trPr/>
        <w:tc>
          <w:tcPr>
            <w:tcW w:w="415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Amy B. Schwetz</w:t>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Senior Vice President and Chief Financial Officer</w:t>
              <w:br/>
              <w:t>(Principal Financial Officer)</w:t>
            </w:r>
          </w:p>
        </w:tc>
      </w:tr>
    </w:tbl>
    <w:p>
      <w:pPr>
        <w:pStyle w:val="TextBody"/>
        <w:rPr/>
      </w:pPr>
      <w:r>
        <w:rPr/>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43">
                <wp:simplePos x="0" y="0"/>
                <wp:positionH relativeFrom="character">
                  <wp:align>left</wp:align>
                </wp:positionH>
                <wp:positionV relativeFrom="line">
                  <wp:posOffset>635</wp:posOffset>
                </wp:positionV>
                <wp:extent cx="6480175" cy="175260"/>
                <wp:effectExtent l="0" t="0" r="0" b="0"/>
                <wp:wrapNone/>
                <wp:docPr id="42" name="Frame4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jc w:val="center"/>
                        <w:rPr/>
                      </w:pPr>
                      <w:r>
                        <w:rPr/>
                      </w:r>
                    </w:p>
                  </w:txbxContent>
                </v:textbox>
              </v:rect>
            </w:pict>
          </mc:Fallback>
        </mc:AlternateContent>
      </w:r>
    </w:p>
    <w:p>
      <w:pPr>
        <w:pStyle w:val="TextBody"/>
        <w:spacing w:lineRule="auto" w:line="288" w:before="240" w:after="283"/>
        <w:jc w:val="right"/>
        <w:rPr>
          <w:rFonts w:ascii="Times New Roman;sans-serif" w:hAnsi="Times New Roman;sans-serif"/>
          <w:b/>
          <w:color w:val="000000"/>
          <w:sz w:val="20"/>
        </w:rPr>
      </w:pPr>
      <w:r>
        <w:rPr>
          <w:rFonts w:ascii="Times New Roman;sans-serif" w:hAnsi="Times New Roman;sans-serif"/>
          <w:b/>
          <w:color w:val="000000"/>
          <w:sz w:val="20"/>
        </w:rPr>
        <w:t>EXHIBIT 32.1</w:t>
      </w:r>
    </w:p>
    <w:p>
      <w:pPr>
        <w:pStyle w:val="TextBody"/>
        <w:spacing w:before="0" w:after="0"/>
        <w:jc w:val="center"/>
        <w:rPr/>
      </w:pPr>
      <w:r>
        <w:rPr/>
      </w:r>
    </w:p>
    <w:p>
      <w:pPr>
        <w:pStyle w:val="TextBody"/>
        <w:spacing w:before="0" w:after="0"/>
        <w:jc w:val="center"/>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CERTIFICATION PURSUANT TO</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18 U.S.C. SECTION 1350</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AS ADOPTED PURSUANT TO</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SECTION 906 OF THE SARBANES-OXLEY ACT OF 2002</w:t>
      </w:r>
    </w:p>
    <w:p>
      <w:pPr>
        <w:pStyle w:val="TextBody"/>
        <w:spacing w:lineRule="auto" w:line="288" w:before="120" w:after="283"/>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I, R. Scott Rowe, President and Chief Executive Officer of Flowserve Corporation (the “Company”), certify, pursuant to 18 U.S.C. Section 1350, as adopted pursuant to Section 906 of the Sarbanes-Oxley Act of 2002, that to my knowledge:</w:t>
      </w:r>
    </w:p>
    <w:p>
      <w:pPr>
        <w:pStyle w:val="TextBody"/>
        <w:spacing w:lineRule="auto" w:line="288" w:before="120" w:after="283"/>
        <w:ind w:left="0" w:right="0" w:firstLine="315"/>
        <w:jc w:val="both"/>
        <w:rPr/>
      </w:pPr>
      <w:r>
        <w:rPr>
          <w:rFonts w:ascii="Times New Roman;sans-serif" w:hAnsi="Times New Roman;sans-serif"/>
          <w:b w:val="false"/>
          <w:color w:val="000000"/>
          <w:sz w:val="20"/>
        </w:rPr>
        <w:t xml:space="preserve">(1) the Quarterly Report on Form 10-Q of the Company for the period ended </w:t>
      </w:r>
      <w:r>
        <w:rPr>
          <w:rFonts w:ascii="Times New Roman;sans-serif" w:hAnsi="Times New Roman;sans-serif"/>
          <w:b w:val="false"/>
          <w:color w:val="000000"/>
          <w:sz w:val="20"/>
          <w:highlight w:val="white"/>
        </w:rPr>
        <w:t>March 31, 2023</w:t>
      </w:r>
      <w:r>
        <w:rPr>
          <w:rFonts w:ascii="Times New Roman;sans-serif" w:hAnsi="Times New Roman;sans-serif"/>
          <w:b w:val="false"/>
          <w:color w:val="000000"/>
          <w:sz w:val="20"/>
        </w:rPr>
        <w:t>, as filed with the Securities and Exchange Commission on the date hereof (the “Quarterly Report”), fully complies with the requirements of Section 13(a) or 15(d) of the Securities Exchange Act of 1934; and</w:t>
      </w:r>
    </w:p>
    <w:p>
      <w:pPr>
        <w:pStyle w:val="TextBody"/>
        <w:spacing w:lineRule="auto" w:line="288" w:before="120" w:after="283"/>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(2) the information contained in the Quarterly Report fairly presents, in all material respects, the consolidated financial condition and results of operations of the Company.</w:t>
      </w:r>
    </w:p>
    <w:p>
      <w:pPr>
        <w:pStyle w:val="TextBody"/>
        <w:spacing w:before="120" w:after="283"/>
        <w:rPr/>
      </w:pPr>
      <w:r>
        <w:rPr/>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 xml:space="preserve">Date: May 1, 2023 </w:t>
      </w:r>
    </w:p>
    <w:p>
      <w:pPr>
        <w:pStyle w:val="TextBody"/>
        <w:spacing w:before="120" w:after="283"/>
        <w:rPr/>
      </w:pPr>
      <w:r>
        <w:rPr/>
      </w:r>
    </w:p>
    <w:tbl>
      <w:tblPr>
        <w:tblW w:w="3878" w:type="dxa"/>
        <w:jc w:val="left"/>
        <w:tblInd w:w="0" w:type="dxa"/>
        <w:tblCellMar>
          <w:top w:w="28" w:type="dxa"/>
          <w:left w:w="28" w:type="dxa"/>
          <w:bottom w:w="28" w:type="dxa"/>
          <w:right w:w="28" w:type="dxa"/>
        </w:tblCellMar>
      </w:tblPr>
      <w:tblGrid>
        <w:gridCol w:w="1150"/>
        <w:gridCol w:w="1009"/>
        <w:gridCol w:w="1020"/>
        <w:gridCol w:w="109"/>
        <w:gridCol w:w="109"/>
        <w:gridCol w:w="109"/>
        <w:gridCol w:w="109"/>
        <w:gridCol w:w="109"/>
        <w:gridCol w:w="154"/>
      </w:tblGrid>
      <w:tr>
        <w:trPr/>
        <w:tc>
          <w:tcPr>
            <w:tcW w:w="1150" w:type="dxa"/>
            <w:tcBorders/>
            <w:shd w:fill="auto" w:val="clear"/>
            <w:vAlign w:val="center"/>
          </w:tcPr>
          <w:p>
            <w:pPr>
              <w:pStyle w:val="TableContents"/>
              <w:spacing w:before="0" w:after="283"/>
              <w:rPr>
                <w:sz w:val="4"/>
                <w:szCs w:val="4"/>
              </w:rPr>
            </w:pPr>
            <w:r>
              <w:rPr>
                <w:sz w:val="4"/>
                <w:szCs w:val="4"/>
              </w:rPr>
            </w:r>
          </w:p>
        </w:tc>
        <w:tc>
          <w:tcPr>
            <w:tcW w:w="1009" w:type="dxa"/>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R. Scott Rowe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72" w:type="dxa"/>
            <w:gridSpan w:val="3"/>
            <w:tcBorders/>
            <w:shd w:fill="auto" w:val="clear"/>
            <w:vAlign w:val="center"/>
          </w:tcPr>
          <w:p>
            <w:pPr>
              <w:pStyle w:val="TableContents"/>
              <w:spacing w:before="0" w:after="283"/>
              <w:rPr>
                <w:sz w:val="4"/>
                <w:szCs w:val="4"/>
              </w:rPr>
            </w:pPr>
            <w:r>
              <w:rPr>
                <w:sz w:val="4"/>
                <w:szCs w:val="4"/>
              </w:rPr>
            </w:r>
          </w:p>
        </w:tc>
      </w:tr>
      <w:tr>
        <w:trPr/>
        <w:tc>
          <w:tcPr>
            <w:tcW w:w="317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R. Scott Rowe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President and Chief Executive Officer</w:t>
              <w:br/>
              <w:t>(Principal Executive Officer)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44">
                <wp:simplePos x="0" y="0"/>
                <wp:positionH relativeFrom="character">
                  <wp:align>left</wp:align>
                </wp:positionH>
                <wp:positionV relativeFrom="line">
                  <wp:posOffset>635</wp:posOffset>
                </wp:positionV>
                <wp:extent cx="6480175" cy="175260"/>
                <wp:effectExtent l="0" t="0" r="0" b="0"/>
                <wp:wrapNone/>
                <wp:docPr id="43" name="Frame4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jc w:val="center"/>
                        <w:rPr/>
                      </w:pPr>
                      <w:r>
                        <w:rPr/>
                      </w:r>
                    </w:p>
                  </w:txbxContent>
                </v:textbox>
              </v:rect>
            </w:pict>
          </mc:Fallback>
        </mc:AlternateContent>
      </w:r>
    </w:p>
    <w:p>
      <w:pPr>
        <w:pStyle w:val="TextBody"/>
        <w:spacing w:lineRule="auto" w:line="288" w:before="240" w:after="283"/>
        <w:jc w:val="right"/>
        <w:rPr>
          <w:rFonts w:ascii="Times New Roman;sans-serif" w:hAnsi="Times New Roman;sans-serif"/>
          <w:b/>
          <w:color w:val="000000"/>
          <w:sz w:val="20"/>
        </w:rPr>
      </w:pPr>
      <w:r>
        <w:rPr>
          <w:rFonts w:ascii="Times New Roman;sans-serif" w:hAnsi="Times New Roman;sans-serif"/>
          <w:b/>
          <w:color w:val="000000"/>
          <w:sz w:val="20"/>
        </w:rPr>
        <w:t>EXHIBIT 32.2</w:t>
      </w:r>
    </w:p>
    <w:p>
      <w:pPr>
        <w:pStyle w:val="TextBody"/>
        <w:spacing w:before="0" w:after="0"/>
        <w:jc w:val="center"/>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CERTIFICATION PURSUANT TO</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18 U.S.C. SECTION 1350</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AS ADOPTED PURSUANT TO</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SECTION 906 OF THE SARBANES-OXLEY ACT OF 2002</w:t>
      </w:r>
    </w:p>
    <w:p>
      <w:pPr>
        <w:pStyle w:val="TextBody"/>
        <w:spacing w:lineRule="auto" w:line="288" w:before="120" w:after="283"/>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I, Amy B. Schwetz, Senior Vice President and Chief Financial Officer of Flowserve Corporation (the “Company”), certify, pursuant to 18 U.S.C. Section 1350, as adopted pursuant to Section 906 of the Sarbanes-Oxley Act of 2002, that to my knowledge:</w:t>
      </w:r>
    </w:p>
    <w:p>
      <w:pPr>
        <w:pStyle w:val="TextBody"/>
        <w:spacing w:lineRule="auto" w:line="288" w:before="120" w:after="283"/>
        <w:ind w:left="0" w:right="0" w:firstLine="315"/>
        <w:jc w:val="both"/>
        <w:rPr/>
      </w:pPr>
      <w:r>
        <w:rPr>
          <w:rFonts w:ascii="Times New Roman;sans-serif" w:hAnsi="Times New Roman;sans-serif"/>
          <w:b w:val="false"/>
          <w:color w:val="000000"/>
          <w:sz w:val="20"/>
        </w:rPr>
        <w:t xml:space="preserve">(1) the Quarterly Report on Form 10-Q of the Company for the period ended </w:t>
      </w:r>
      <w:r>
        <w:rPr>
          <w:rFonts w:ascii="Times New Roman;sans-serif" w:hAnsi="Times New Roman;sans-serif"/>
          <w:b w:val="false"/>
          <w:color w:val="000000"/>
          <w:sz w:val="20"/>
          <w:highlight w:val="white"/>
        </w:rPr>
        <w:t>March 31, 2023</w:t>
      </w:r>
      <w:r>
        <w:rPr>
          <w:rFonts w:ascii="Times New Roman;sans-serif" w:hAnsi="Times New Roman;sans-serif"/>
          <w:b w:val="false"/>
          <w:color w:val="000000"/>
          <w:sz w:val="20"/>
        </w:rPr>
        <w:t>, as filed with the Securities and Exchange Commission on the date hereof (the “Quarterly Report”), fully complies with the requirements of Section 13(a) or 15(d) of the Securities Exchange Act of 1934; and</w:t>
      </w:r>
    </w:p>
    <w:p>
      <w:pPr>
        <w:pStyle w:val="TextBody"/>
        <w:spacing w:lineRule="auto" w:line="288" w:before="120" w:after="283"/>
        <w:ind w:left="0" w:right="0" w:firstLine="315"/>
        <w:jc w:val="both"/>
        <w:rPr>
          <w:rFonts w:ascii="Times New Roman;sans-serif" w:hAnsi="Times New Roman;sans-serif"/>
          <w:b w:val="false"/>
          <w:color w:val="000000"/>
          <w:sz w:val="20"/>
        </w:rPr>
      </w:pPr>
      <w:r>
        <w:rPr>
          <w:rFonts w:ascii="Times New Roman;sans-serif" w:hAnsi="Times New Roman;sans-serif"/>
          <w:b w:val="false"/>
          <w:color w:val="000000"/>
          <w:sz w:val="20"/>
        </w:rPr>
        <w:t>(2) the information contained in the Quarterly Report fairly presents, in all material respects, the consolidated financial condition and results of operations of the Company.</w:t>
      </w:r>
    </w:p>
    <w:p>
      <w:pPr>
        <w:pStyle w:val="TextBody"/>
        <w:spacing w:before="120" w:after="283"/>
        <w:rPr/>
      </w:pPr>
      <w:r>
        <w:rPr/>
      </w:r>
    </w:p>
    <w:p>
      <w:pPr>
        <w:pStyle w:val="TextBody"/>
        <w:spacing w:lineRule="auto" w:line="288" w:before="120" w:after="283"/>
        <w:rPr>
          <w:rFonts w:ascii="Times New Roman;sans-serif" w:hAnsi="Times New Roman;sans-serif"/>
          <w:b w:val="false"/>
          <w:color w:val="000000"/>
          <w:sz w:val="20"/>
        </w:rPr>
      </w:pPr>
      <w:r>
        <w:rPr>
          <w:rFonts w:ascii="Times New Roman;sans-serif" w:hAnsi="Times New Roman;sans-serif"/>
          <w:b w:val="false"/>
          <w:color w:val="000000"/>
          <w:sz w:val="20"/>
        </w:rPr>
        <w:t>Date: May 1, 2023</w:t>
      </w:r>
    </w:p>
    <w:tbl>
      <w:tblPr>
        <w:tblW w:w="4154" w:type="dxa"/>
        <w:jc w:val="left"/>
        <w:tblInd w:w="0" w:type="dxa"/>
        <w:tblCellMar>
          <w:top w:w="28" w:type="dxa"/>
          <w:left w:w="28" w:type="dxa"/>
          <w:bottom w:w="28" w:type="dxa"/>
          <w:right w:w="28" w:type="dxa"/>
        </w:tblCellMar>
      </w:tblPr>
      <w:tblGrid>
        <w:gridCol w:w="1328"/>
        <w:gridCol w:w="1166"/>
        <w:gridCol w:w="1660"/>
      </w:tblGrid>
      <w:tr>
        <w:trPr/>
        <w:tc>
          <w:tcPr>
            <w:tcW w:w="1328" w:type="dxa"/>
            <w:tcBorders/>
            <w:shd w:fill="auto" w:val="clear"/>
            <w:vAlign w:val="center"/>
          </w:tcPr>
          <w:p>
            <w:pPr>
              <w:pStyle w:val="TableContents"/>
              <w:spacing w:before="0" w:after="283"/>
              <w:rPr>
                <w:sz w:val="4"/>
                <w:szCs w:val="4"/>
              </w:rPr>
            </w:pPr>
            <w:r>
              <w:rPr>
                <w:sz w:val="4"/>
                <w:szCs w:val="4"/>
              </w:rPr>
            </w:r>
          </w:p>
        </w:tc>
        <w:tc>
          <w:tcPr>
            <w:tcW w:w="1166" w:type="dxa"/>
            <w:tcBorders/>
            <w:shd w:fill="auto" w:val="clear"/>
            <w:vAlign w:val="center"/>
          </w:tcPr>
          <w:p>
            <w:pPr>
              <w:pStyle w:val="TableContents"/>
              <w:spacing w:before="0" w:after="283"/>
              <w:rPr>
                <w:sz w:val="4"/>
                <w:szCs w:val="4"/>
              </w:rPr>
            </w:pPr>
            <w:r>
              <w:rPr>
                <w:sz w:val="4"/>
                <w:szCs w:val="4"/>
              </w:rPr>
            </w:r>
          </w:p>
        </w:tc>
        <w:tc>
          <w:tcPr>
            <w:tcW w:w="1660" w:type="dxa"/>
            <w:tcBorders/>
            <w:shd w:fill="auto" w:val="clear"/>
            <w:vAlign w:val="center"/>
          </w:tcPr>
          <w:p>
            <w:pPr>
              <w:pStyle w:val="TableContents"/>
              <w:spacing w:before="0" w:after="283"/>
              <w:rPr>
                <w:sz w:val="4"/>
                <w:szCs w:val="4"/>
              </w:rPr>
            </w:pPr>
            <w:r>
              <w:rPr>
                <w:sz w:val="4"/>
                <w:szCs w:val="4"/>
              </w:rPr>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Amy B. Schwetz</w:t>
            </w:r>
          </w:p>
        </w:tc>
      </w:tr>
      <w:tr>
        <w:trPr/>
        <w:tc>
          <w:tcPr>
            <w:tcW w:w="415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Amy B. Schwetz</w:t>
            </w:r>
          </w:p>
        </w:tc>
      </w:tr>
      <w:tr>
        <w:trPr/>
        <w:tc>
          <w:tcPr>
            <w:tcW w:w="41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Senior Vice President and Chief Financial Officer</w:t>
              <w:br/>
              <w:t>(Principal Financial Officer)</w:t>
            </w:r>
          </w:p>
        </w:tc>
      </w:tr>
    </w:tbl>
    <w:p>
      <w:pPr>
        <w:pStyle w:val="TextBody"/>
        <w:rPr/>
      </w:pPr>
      <w:r>
        <w:rPr/>
      </w:r>
      <w:r>
        <w:br w:type="page"/>
      </w:r>
    </w:p>
    <w:p>
      <w:pPr>
        <w:pStyle w:val="TextBody"/>
        <w:spacing w:before="0" w:after="283"/>
        <w:rPr/>
      </w:pPr>
      <w:r>
        <w:rPr/>
      </w:r>
      <w:r>
        <mc:AlternateContent>
          <mc:Choice Requires="wps">
            <w:drawing>
              <wp:anchor behindDoc="0" distT="0" distB="0" distL="0" distR="0" simplePos="0" locked="0" layoutInCell="1" allowOverlap="1" relativeHeight="45">
                <wp:simplePos x="0" y="0"/>
                <wp:positionH relativeFrom="character">
                  <wp:align>left</wp:align>
                </wp:positionH>
                <wp:positionV relativeFrom="line">
                  <wp:posOffset>635</wp:posOffset>
                </wp:positionV>
                <wp:extent cx="6480175" cy="175260"/>
                <wp:effectExtent l="0" t="0" r="0" b="0"/>
                <wp:wrapNone/>
                <wp:docPr id="44" name="Frame4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jc w:val="center"/>
                        <w:rPr/>
                      </w:pPr>
                      <w:r>
                        <w:rPr/>
                      </w:r>
                    </w:p>
                  </w:txbxContent>
                </v:textbox>
              </v:rect>
            </w:pict>
          </mc:Fallback>
        </mc:AlternateContent>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sans-serif"/>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sec.gov/Archives/edgar/data/0000030625/000119312521172363/d188598dex31.htm" TargetMode="External"/><Relationship Id="rId4" Type="http://schemas.openxmlformats.org/officeDocument/2006/relationships/hyperlink" Target="https://www.sec.gov/Archives/edgar/data/30625/000115752323000542/a53379150ex3_1.htm" TargetMode="External"/><Relationship Id="rId5" Type="http://schemas.openxmlformats.org/officeDocument/2006/relationships/hyperlink" Target="https://www.sec.gov/Archives/edgar/data/30625/000003062523000077/fls1231202210kex102.htm" TargetMode="External"/><Relationship Id="rId6" Type="http://schemas.openxmlformats.org/officeDocument/2006/relationships/hyperlink" Target="https://www.sec.gov/Archives/edgar/data/30625/000003062523000077/fls1231202210kex1021.htm" TargetMode="External"/><Relationship Id="rId7" Type="http://schemas.openxmlformats.org/officeDocument/2006/relationships/hyperlink" Target="https://www.sec.gov/Archives/edgar/data/30625/000003062523000077/fls1231202210kex1026.ht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Pages>
  <Words>20866</Words>
  <CharactersWithSpaces>136608</CharactersWithSpaces>
  <Paragraphs>2701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