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4"/>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208280</wp:posOffset>
            </wp:positionH>
            <wp:positionV relativeFrom="page">
              <wp:posOffset>474980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380365</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t>UNITED STATES</w:t>
      </w:r>
    </w:p>
    <w:p>
      <w:pPr>
        <w:spacing w:after="0" w:line="38" w:lineRule="exact"/>
        <w:rPr>
          <w:sz w:val="24"/>
          <w:szCs w:val="24"/>
          <w:color w:val="auto"/>
        </w:rPr>
      </w:pPr>
    </w:p>
    <w:p>
      <w:pPr>
        <w:jc w:val="center"/>
        <w:ind w:right="-84"/>
        <w:spacing w:after="0"/>
        <w:rPr>
          <w:sz w:val="20"/>
          <w:szCs w:val="20"/>
          <w:color w:val="auto"/>
        </w:rPr>
      </w:pPr>
      <w:r>
        <w:rPr>
          <w:rFonts w:ascii="Arial" w:cs="Arial" w:eastAsia="Arial" w:hAnsi="Arial"/>
          <w:sz w:val="25"/>
          <w:szCs w:val="25"/>
          <w:b w:val="1"/>
          <w:bCs w:val="1"/>
          <w:color w:val="auto"/>
        </w:rPr>
        <w:t>SECURITIES AND EXCHANGE COMMISSION</w:t>
      </w:r>
    </w:p>
    <w:p>
      <w:pPr>
        <w:spacing w:after="0" w:line="13" w:lineRule="exact"/>
        <w:rPr>
          <w:sz w:val="24"/>
          <w:szCs w:val="24"/>
          <w:color w:val="auto"/>
        </w:rPr>
      </w:pPr>
    </w:p>
    <w:p>
      <w:pPr>
        <w:jc w:val="center"/>
        <w:ind w:right="-64"/>
        <w:spacing w:after="0"/>
        <w:rPr>
          <w:sz w:val="20"/>
          <w:szCs w:val="20"/>
          <w:color w:val="auto"/>
        </w:rPr>
      </w:pPr>
      <w:r>
        <w:rPr>
          <w:rFonts w:ascii="Arial" w:cs="Arial" w:eastAsia="Arial" w:hAnsi="Arial"/>
          <w:sz w:val="22"/>
          <w:szCs w:val="22"/>
          <w:b w:val="1"/>
          <w:bCs w:val="1"/>
          <w:color w:val="auto"/>
        </w:rPr>
        <w:t>Washington, D.C. 20549</w:t>
      </w:r>
    </w:p>
    <w:p>
      <w:pPr>
        <w:spacing w:after="0" w:line="183" w:lineRule="exact"/>
        <w:rPr>
          <w:sz w:val="24"/>
          <w:szCs w:val="24"/>
          <w:color w:val="auto"/>
        </w:rPr>
      </w:pPr>
    </w:p>
    <w:p>
      <w:pPr>
        <w:jc w:val="center"/>
        <w:ind w:right="-84"/>
        <w:spacing w:after="0"/>
        <w:rPr>
          <w:sz w:val="20"/>
          <w:szCs w:val="20"/>
          <w:color w:val="auto"/>
        </w:rPr>
      </w:pPr>
      <w:r>
        <w:rPr>
          <w:rFonts w:ascii="Arial" w:cs="Arial" w:eastAsia="Arial" w:hAnsi="Arial"/>
          <w:sz w:val="32"/>
          <w:szCs w:val="32"/>
          <w:b w:val="1"/>
          <w:bCs w:val="1"/>
          <w:color w:val="auto"/>
        </w:rPr>
        <w:t>FORM 11-K</w:t>
      </w:r>
    </w:p>
    <w:p>
      <w:pPr>
        <w:spacing w:after="0" w:line="200" w:lineRule="exact"/>
        <w:rPr>
          <w:sz w:val="24"/>
          <w:szCs w:val="24"/>
          <w:color w:val="auto"/>
        </w:rPr>
      </w:pPr>
    </w:p>
    <w:p>
      <w:pPr>
        <w:spacing w:after="0" w:line="200" w:lineRule="exact"/>
        <w:rPr>
          <w:sz w:val="24"/>
          <w:szCs w:val="24"/>
          <w:color w:val="auto"/>
        </w:rPr>
      </w:pPr>
    </w:p>
    <w:p>
      <w:pPr>
        <w:spacing w:after="0" w:line="326" w:lineRule="exact"/>
        <w:rPr>
          <w:sz w:val="24"/>
          <w:szCs w:val="24"/>
          <w:color w:val="auto"/>
        </w:rPr>
      </w:pPr>
    </w:p>
    <w:p>
      <w:pPr>
        <w:ind w:left="1685" w:hanging="1300"/>
        <w:spacing w:after="0" w:line="256" w:lineRule="auto"/>
        <w:tabs>
          <w:tab w:leader="none" w:pos="1685" w:val="left"/>
        </w:tabs>
        <w:numPr>
          <w:ilvl w:val="0"/>
          <w:numId w:val="1"/>
        </w:numPr>
        <w:rPr>
          <w:rFonts w:ascii="MS PGothic" w:cs="MS PGothic" w:eastAsia="MS PGothic" w:hAnsi="MS PGothic"/>
          <w:sz w:val="22"/>
          <w:szCs w:val="22"/>
          <w:color w:val="auto"/>
        </w:rPr>
      </w:pPr>
      <w:r>
        <w:rPr>
          <w:rFonts w:ascii="Arial" w:cs="Arial" w:eastAsia="Arial" w:hAnsi="Arial"/>
          <w:sz w:val="22"/>
          <w:szCs w:val="22"/>
          <w:b w:val="1"/>
          <w:bCs w:val="1"/>
          <w:color w:val="auto"/>
        </w:rPr>
        <w:t>ANNUAL REPORT PURSUANT TO SECTION 15(d) OF THE SECURITIES EXCHANGE ACT OF 1934</w:t>
      </w:r>
    </w:p>
    <w:p>
      <w:pPr>
        <w:spacing w:after="0" w:line="90" w:lineRule="exact"/>
        <w:rPr>
          <w:sz w:val="24"/>
          <w:szCs w:val="24"/>
          <w:color w:val="auto"/>
        </w:rPr>
      </w:pPr>
    </w:p>
    <w:p>
      <w:pPr>
        <w:ind w:left="1505"/>
        <w:spacing w:after="0"/>
        <w:rPr>
          <w:sz w:val="20"/>
          <w:szCs w:val="20"/>
          <w:color w:val="auto"/>
        </w:rPr>
      </w:pPr>
      <w:r>
        <w:rPr>
          <w:rFonts w:ascii="Arial" w:cs="Arial" w:eastAsia="Arial" w:hAnsi="Arial"/>
          <w:sz w:val="18"/>
          <w:szCs w:val="18"/>
          <w:b w:val="1"/>
          <w:bCs w:val="1"/>
          <w:color w:val="auto"/>
        </w:rPr>
        <w:t>For the fiscal year ended December 31, 2019</w:t>
      </w:r>
    </w:p>
    <w:p>
      <w:pPr>
        <w:spacing w:after="0" w:line="117" w:lineRule="exact"/>
        <w:rPr>
          <w:sz w:val="24"/>
          <w:szCs w:val="24"/>
          <w:color w:val="auto"/>
        </w:rPr>
      </w:pPr>
    </w:p>
    <w:p>
      <w:pPr>
        <w:jc w:val="center"/>
        <w:ind w:right="-64"/>
        <w:spacing w:after="0"/>
        <w:rPr>
          <w:sz w:val="20"/>
          <w:szCs w:val="20"/>
          <w:color w:val="auto"/>
        </w:rPr>
      </w:pPr>
      <w:r>
        <w:rPr>
          <w:rFonts w:ascii="Arial" w:cs="Arial" w:eastAsia="Arial" w:hAnsi="Arial"/>
          <w:sz w:val="18"/>
          <w:szCs w:val="18"/>
          <w:b w:val="1"/>
          <w:bCs w:val="1"/>
          <w:color w:val="auto"/>
        </w:rPr>
        <w:t>OR</w:t>
      </w:r>
    </w:p>
    <w:p>
      <w:pPr>
        <w:spacing w:after="0" w:line="337" w:lineRule="exact"/>
        <w:rPr>
          <w:sz w:val="24"/>
          <w:szCs w:val="24"/>
          <w:color w:val="auto"/>
        </w:rPr>
      </w:pPr>
    </w:p>
    <w:p>
      <w:pPr>
        <w:ind w:left="1685" w:right="420" w:hanging="1260"/>
        <w:spacing w:after="0" w:line="256" w:lineRule="auto"/>
        <w:tabs>
          <w:tab w:leader="none" w:pos="1685" w:val="left"/>
        </w:tabs>
        <w:numPr>
          <w:ilvl w:val="0"/>
          <w:numId w:val="2"/>
        </w:numPr>
        <w:rPr>
          <w:rFonts w:ascii="Arial" w:cs="Arial" w:eastAsia="Arial" w:hAnsi="Arial"/>
          <w:sz w:val="22"/>
          <w:szCs w:val="22"/>
          <w:color w:val="auto"/>
        </w:rPr>
      </w:pPr>
      <w:r>
        <w:rPr>
          <w:rFonts w:ascii="Arial" w:cs="Arial" w:eastAsia="Arial" w:hAnsi="Arial"/>
          <w:sz w:val="22"/>
          <w:szCs w:val="22"/>
          <w:b w:val="1"/>
          <w:bCs w:val="1"/>
          <w:color w:val="auto"/>
        </w:rPr>
        <w:t>TRANSITION REPORT PURSUANT TO SECTION 15(d) OF THE SECURITIES EXCHANGE ACT OF 1934</w:t>
      </w:r>
    </w:p>
    <w:p>
      <w:pPr>
        <w:spacing w:after="0" w:line="144" w:lineRule="exact"/>
        <w:rPr>
          <w:sz w:val="24"/>
          <w:szCs w:val="24"/>
          <w:color w:val="auto"/>
        </w:rPr>
      </w:pPr>
    </w:p>
    <w:p>
      <w:pPr>
        <w:ind w:left="1685"/>
        <w:spacing w:after="0"/>
        <w:tabs>
          <w:tab w:leader="none" w:pos="4985"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3"/>
          <w:szCs w:val="13"/>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2576830</wp:posOffset>
            </wp:positionH>
            <wp:positionV relativeFrom="paragraph">
              <wp:posOffset>-7620</wp:posOffset>
            </wp:positionV>
            <wp:extent cx="132334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323340" cy="8255"/>
                    </a:xfrm>
                    <a:prstGeom prst="rect">
                      <a:avLst/>
                    </a:prstGeom>
                    <a:noFill/>
                  </pic:spPr>
                </pic:pic>
              </a:graphicData>
            </a:graphic>
          </wp:anchor>
        </w:drawing>
      </w:r>
    </w:p>
    <w:p>
      <w:pPr>
        <w:spacing w:after="0" w:line="232" w:lineRule="exact"/>
        <w:rPr>
          <w:sz w:val="24"/>
          <w:szCs w:val="24"/>
          <w:color w:val="auto"/>
        </w:rPr>
      </w:pPr>
    </w:p>
    <w:p>
      <w:pPr>
        <w:jc w:val="center"/>
        <w:ind w:right="-84"/>
        <w:spacing w:after="0"/>
        <w:rPr>
          <w:sz w:val="20"/>
          <w:szCs w:val="20"/>
          <w:color w:val="auto"/>
        </w:rPr>
      </w:pPr>
      <w:r>
        <w:rPr>
          <w:rFonts w:ascii="Arial" w:cs="Arial" w:eastAsia="Arial" w:hAnsi="Arial"/>
          <w:sz w:val="18"/>
          <w:szCs w:val="18"/>
          <w:b w:val="1"/>
          <w:bCs w:val="1"/>
          <w:color w:val="auto"/>
        </w:rPr>
        <w:t>Commission file number 1-13179</w:t>
      </w:r>
    </w:p>
    <w:p>
      <w:pPr>
        <w:spacing w:after="0" w:line="175" w:lineRule="exact"/>
        <w:rPr>
          <w:sz w:val="24"/>
          <w:szCs w:val="24"/>
          <w:color w:val="auto"/>
        </w:rPr>
      </w:pPr>
    </w:p>
    <w:p>
      <w:pPr>
        <w:ind w:left="725" w:hanging="725"/>
        <w:spacing w:after="0"/>
        <w:tabs>
          <w:tab w:leader="none" w:pos="725" w:val="left"/>
        </w:tabs>
        <w:numPr>
          <w:ilvl w:val="0"/>
          <w:numId w:val="3"/>
        </w:numPr>
        <w:rPr>
          <w:rFonts w:ascii="Arial" w:cs="Arial" w:eastAsia="Arial" w:hAnsi="Arial"/>
          <w:sz w:val="18"/>
          <w:szCs w:val="18"/>
          <w:color w:val="auto"/>
        </w:rPr>
      </w:pPr>
      <w:r>
        <w:rPr>
          <w:rFonts w:ascii="Arial" w:cs="Arial" w:eastAsia="Arial" w:hAnsi="Arial"/>
          <w:sz w:val="18"/>
          <w:szCs w:val="18"/>
          <w:color w:val="auto"/>
        </w:rPr>
        <w:t>Full title of the plan and address of the plan, if different from that of the issuer named below:</w:t>
      </w:r>
    </w:p>
    <w:p>
      <w:pPr>
        <w:spacing w:after="0" w:line="239" w:lineRule="exact"/>
        <w:rPr>
          <w:sz w:val="24"/>
          <w:szCs w:val="24"/>
          <w:color w:val="auto"/>
        </w:rPr>
      </w:pPr>
    </w:p>
    <w:p>
      <w:pPr>
        <w:jc w:val="center"/>
        <w:ind w:right="-84"/>
        <w:spacing w:after="0"/>
        <w:rPr>
          <w:sz w:val="20"/>
          <w:szCs w:val="20"/>
          <w:color w:val="auto"/>
        </w:rPr>
      </w:pPr>
      <w:r>
        <w:rPr>
          <w:rFonts w:ascii="Arial" w:cs="Arial" w:eastAsia="Arial" w:hAnsi="Arial"/>
          <w:sz w:val="32"/>
          <w:szCs w:val="32"/>
          <w:b w:val="1"/>
          <w:bCs w:val="1"/>
          <w:color w:val="auto"/>
        </w:rPr>
        <w:t>FLOWSERVE CORPORATION RETIREMENT SAVINGS</w:t>
      </w:r>
    </w:p>
    <w:p>
      <w:pPr>
        <w:spacing w:after="0" w:line="46" w:lineRule="exact"/>
        <w:rPr>
          <w:sz w:val="24"/>
          <w:szCs w:val="24"/>
          <w:color w:val="auto"/>
        </w:rPr>
      </w:pPr>
    </w:p>
    <w:p>
      <w:pPr>
        <w:jc w:val="center"/>
        <w:ind w:right="-64"/>
        <w:spacing w:after="0"/>
        <w:rPr>
          <w:sz w:val="20"/>
          <w:szCs w:val="20"/>
          <w:color w:val="auto"/>
        </w:rPr>
      </w:pPr>
      <w:r>
        <w:rPr>
          <w:rFonts w:ascii="Arial" w:cs="Arial" w:eastAsia="Arial" w:hAnsi="Arial"/>
          <w:sz w:val="32"/>
          <w:szCs w:val="32"/>
          <w:b w:val="1"/>
          <w:bCs w:val="1"/>
          <w:color w:val="auto"/>
        </w:rPr>
        <w:t>PLAN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2931795</wp:posOffset>
            </wp:positionH>
            <wp:positionV relativeFrom="paragraph">
              <wp:posOffset>1270</wp:posOffset>
            </wp:positionV>
            <wp:extent cx="1242695" cy="4540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42695" cy="4540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5" w:lineRule="exact"/>
        <w:rPr>
          <w:sz w:val="24"/>
          <w:szCs w:val="24"/>
          <w:color w:val="auto"/>
        </w:rPr>
      </w:pPr>
    </w:p>
    <w:p>
      <w:pPr>
        <w:ind w:left="745" w:hanging="745"/>
        <w:spacing w:after="0"/>
        <w:tabs>
          <w:tab w:leader="none" w:pos="745" w:val="left"/>
        </w:tabs>
        <w:numPr>
          <w:ilvl w:val="0"/>
          <w:numId w:val="4"/>
        </w:numPr>
        <w:rPr>
          <w:rFonts w:ascii="Arial" w:cs="Arial" w:eastAsia="Arial" w:hAnsi="Arial"/>
          <w:sz w:val="18"/>
          <w:szCs w:val="18"/>
          <w:color w:val="auto"/>
        </w:rPr>
      </w:pPr>
      <w:r>
        <w:rPr>
          <w:rFonts w:ascii="Arial" w:cs="Arial" w:eastAsia="Arial" w:hAnsi="Arial"/>
          <w:sz w:val="18"/>
          <w:szCs w:val="18"/>
          <w:color w:val="auto"/>
        </w:rPr>
        <w:t>Name of the issuer of the securities held pursuant to the plan and the address of its principal executive office:</w:t>
      </w:r>
    </w:p>
    <w:p>
      <w:pPr>
        <w:spacing w:after="0" w:line="140" w:lineRule="exact"/>
        <w:rPr>
          <w:sz w:val="24"/>
          <w:szCs w:val="24"/>
          <w:color w:val="auto"/>
        </w:rPr>
      </w:pPr>
    </w:p>
    <w:p>
      <w:pPr>
        <w:jc w:val="center"/>
        <w:ind w:right="-64"/>
        <w:spacing w:after="0"/>
        <w:rPr>
          <w:sz w:val="20"/>
          <w:szCs w:val="20"/>
          <w:color w:val="auto"/>
        </w:rPr>
      </w:pPr>
      <w:r>
        <w:rPr>
          <w:rFonts w:ascii="Arial" w:cs="Arial" w:eastAsia="Arial" w:hAnsi="Arial"/>
          <w:sz w:val="18"/>
          <w:szCs w:val="18"/>
          <w:b w:val="1"/>
          <w:bCs w:val="1"/>
          <w:color w:val="auto"/>
        </w:rPr>
        <w:t>FLOWSERVE CORPORATION</w:t>
      </w:r>
    </w:p>
    <w:p>
      <w:pPr>
        <w:spacing w:after="0" w:line="27" w:lineRule="exact"/>
        <w:rPr>
          <w:sz w:val="24"/>
          <w:szCs w:val="24"/>
          <w:color w:val="auto"/>
        </w:rPr>
      </w:pPr>
    </w:p>
    <w:p>
      <w:pPr>
        <w:jc w:val="center"/>
        <w:ind w:right="-84"/>
        <w:spacing w:after="0"/>
        <w:rPr>
          <w:sz w:val="20"/>
          <w:szCs w:val="20"/>
          <w:color w:val="auto"/>
        </w:rPr>
      </w:pPr>
      <w:r>
        <w:rPr>
          <w:rFonts w:ascii="Arial" w:cs="Arial" w:eastAsia="Arial" w:hAnsi="Arial"/>
          <w:sz w:val="18"/>
          <w:szCs w:val="18"/>
          <w:b w:val="1"/>
          <w:bCs w:val="1"/>
          <w:color w:val="auto"/>
        </w:rPr>
        <w:t>5215 North O’Connor Blvd.,</w:t>
      </w:r>
    </w:p>
    <w:p>
      <w:pPr>
        <w:spacing w:after="0" w:line="9" w:lineRule="exact"/>
        <w:rPr>
          <w:sz w:val="24"/>
          <w:szCs w:val="24"/>
          <w:color w:val="auto"/>
        </w:rPr>
      </w:pPr>
    </w:p>
    <w:p>
      <w:pPr>
        <w:jc w:val="center"/>
        <w:ind w:right="-84"/>
        <w:spacing w:after="0"/>
        <w:rPr>
          <w:sz w:val="20"/>
          <w:szCs w:val="20"/>
          <w:color w:val="auto"/>
        </w:rPr>
      </w:pPr>
      <w:r>
        <w:rPr>
          <w:rFonts w:ascii="Arial" w:cs="Arial" w:eastAsia="Arial" w:hAnsi="Arial"/>
          <w:sz w:val="18"/>
          <w:szCs w:val="18"/>
          <w:b w:val="1"/>
          <w:bCs w:val="1"/>
          <w:color w:val="auto"/>
        </w:rPr>
        <w:t>Suite 2300</w:t>
      </w:r>
    </w:p>
    <w:p>
      <w:pPr>
        <w:spacing w:after="0" w:line="9" w:lineRule="exact"/>
        <w:rPr>
          <w:sz w:val="24"/>
          <w:szCs w:val="24"/>
          <w:color w:val="auto"/>
        </w:rPr>
      </w:pPr>
    </w:p>
    <w:p>
      <w:pPr>
        <w:jc w:val="center"/>
        <w:ind w:right="-84"/>
        <w:spacing w:after="0"/>
        <w:rPr>
          <w:sz w:val="20"/>
          <w:szCs w:val="20"/>
          <w:color w:val="auto"/>
        </w:rPr>
      </w:pPr>
      <w:r>
        <w:rPr>
          <w:rFonts w:ascii="Arial" w:cs="Arial" w:eastAsia="Arial" w:hAnsi="Arial"/>
          <w:sz w:val="18"/>
          <w:szCs w:val="18"/>
          <w:b w:val="1"/>
          <w:bCs w:val="1"/>
          <w:color w:val="auto"/>
        </w:rPr>
        <w:t>Irving, TX 75039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-16510</wp:posOffset>
            </wp:positionH>
            <wp:positionV relativeFrom="paragraph">
              <wp:posOffset>460375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-16510</wp:posOffset>
            </wp:positionH>
            <wp:positionV relativeFrom="paragraph">
              <wp:posOffset>365760</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05"/>
          </w:cols>
          <w:pgMar w:left="355" w:top="1170" w:right="439" w:bottom="1440" w:gutter="0" w:footer="0" w:header="0"/>
        </w:sectPr>
      </w:pPr>
    </w:p>
    <w:bookmarkStart w:id="1" w:name="page2"/>
    <w:bookmarkEnd w:id="1"/>
    <w:p>
      <w:pPr>
        <w:jc w:val="center"/>
        <w:ind w:right="-19"/>
        <w:spacing w:after="0"/>
        <w:rPr>
          <w:sz w:val="20"/>
          <w:szCs w:val="20"/>
          <w:color w:val="auto"/>
        </w:rPr>
      </w:pPr>
      <w:r>
        <w:rPr>
          <w:rFonts w:ascii="Arial" w:cs="Arial" w:eastAsia="Arial" w:hAnsi="Arial"/>
          <w:sz w:val="18"/>
          <w:szCs w:val="18"/>
          <w:b w:val="1"/>
          <w:bCs w:val="1"/>
          <w:u w:val="single" w:color="auto"/>
          <w:color w:val="auto"/>
        </w:rPr>
        <w:t>REQUIRED INFORMATION</w:t>
      </w:r>
    </w:p>
    <w:p>
      <w:pPr>
        <w:spacing w:after="0" w:line="229" w:lineRule="exact"/>
        <w:rPr>
          <w:sz w:val="20"/>
          <w:szCs w:val="20"/>
          <w:color w:val="auto"/>
        </w:rPr>
      </w:pPr>
    </w:p>
    <w:p>
      <w:pPr>
        <w:jc w:val="both"/>
        <w:ind w:firstLine="540"/>
        <w:spacing w:after="0" w:line="277" w:lineRule="auto"/>
        <w:rPr>
          <w:sz w:val="20"/>
          <w:szCs w:val="20"/>
          <w:color w:val="auto"/>
        </w:rPr>
      </w:pPr>
      <w:r>
        <w:rPr>
          <w:rFonts w:ascii="Arial" w:cs="Arial" w:eastAsia="Arial" w:hAnsi="Arial"/>
          <w:sz w:val="18"/>
          <w:szCs w:val="18"/>
          <w:color w:val="auto"/>
        </w:rPr>
        <w:t>The Flowserve Corporation Retirement Savings Plan (the “Plan”) is subject to the Employee Retirement Income Security Act of 1974, as amended (“ERISA”).</w:t>
      </w:r>
    </w:p>
    <w:p>
      <w:pPr>
        <w:spacing w:after="0" w:line="130" w:lineRule="exact"/>
        <w:rPr>
          <w:sz w:val="20"/>
          <w:szCs w:val="20"/>
          <w:color w:val="auto"/>
        </w:rPr>
      </w:pPr>
    </w:p>
    <w:p>
      <w:pPr>
        <w:jc w:val="both"/>
        <w:ind w:firstLine="490"/>
        <w:spacing w:after="0" w:line="263" w:lineRule="auto"/>
        <w:rPr>
          <w:sz w:val="20"/>
          <w:szCs w:val="20"/>
          <w:color w:val="auto"/>
        </w:rPr>
      </w:pPr>
      <w:r>
        <w:rPr>
          <w:rFonts w:ascii="Arial" w:cs="Arial" w:eastAsia="Arial" w:hAnsi="Arial"/>
          <w:sz w:val="18"/>
          <w:szCs w:val="18"/>
          <w:u w:val="single" w:color="auto"/>
          <w:color w:val="auto"/>
        </w:rPr>
        <w:t>Item 4</w:t>
      </w:r>
      <w:r>
        <w:rPr>
          <w:rFonts w:ascii="Arial" w:cs="Arial" w:eastAsia="Arial" w:hAnsi="Arial"/>
          <w:sz w:val="18"/>
          <w:szCs w:val="18"/>
          <w:color w:val="auto"/>
        </w:rPr>
        <w:t>. In lieu of the requirements of Items 1, 2 and 3 of Form 11-K, the following financial statements and schedules of the Plan (which have been prepared in accordance with the financial reporting requirements of ERISA), notes thereto, and Report of Independent Registered Public Accounting Firm thereon are being filed as Exhibit 99.1 to this Form 11-K:</w:t>
      </w:r>
    </w:p>
    <w:p>
      <w:pPr>
        <w:spacing w:after="0" w:line="184"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Report of Independent Registered Public Accounting Firm.</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Statements of Net Assets Available for Benefits as of December 31, 2019 and 2018.</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Statement of Changes in Net Assets Available for Benefits for the Year Ended December 31, 2019.</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Notes to Financial Statements.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Form 5500, Schedule H, Line 4a — Schedule of Delinquent Participant Contributions for the Year Ended December 31, 2019.</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Form 5500, Schedule H, Line 4i — Schedule of Assets (Held at End of Year) as of December 31, 2019.</w:t>
      </w:r>
    </w:p>
    <w:p>
      <w:pPr>
        <w:spacing w:after="0" w:line="170" w:lineRule="exact"/>
        <w:rPr>
          <w:sz w:val="20"/>
          <w:szCs w:val="20"/>
          <w:color w:val="auto"/>
        </w:rPr>
      </w:pPr>
    </w:p>
    <w:p>
      <w:pPr>
        <w:jc w:val="both"/>
        <w:ind w:firstLine="540"/>
        <w:spacing w:after="0" w:line="263" w:lineRule="auto"/>
        <w:rPr>
          <w:sz w:val="20"/>
          <w:szCs w:val="20"/>
          <w:color w:val="auto"/>
        </w:rPr>
      </w:pPr>
      <w:r>
        <w:rPr>
          <w:rFonts w:ascii="Arial" w:cs="Arial" w:eastAsia="Arial" w:hAnsi="Arial"/>
          <w:sz w:val="18"/>
          <w:szCs w:val="18"/>
          <w:color w:val="auto"/>
        </w:rPr>
        <w:t>The Consent of Independent Registered Public Accounting Firm to the incorporation by reference of the foregoing financial statements and Report of Independent Registered Public Accounting Firm in the Registration Statements on Form S-8 pertaining to the Plan is being filed as Exhibit 23.1 to this Report.</w:t>
      </w:r>
    </w:p>
    <w:p>
      <w:pPr>
        <w:sectPr>
          <w:pgSz w:w="11900" w:h="16838" w:orient="portrait"/>
          <w:cols w:equalWidth="0" w:num="1">
            <w:col w:w="11240"/>
          </w:cols>
          <w:pgMar w:left="320" w:top="661" w:right="3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553"/>
        <w:spacing w:after="0" w:line="342" w:lineRule="auto"/>
        <w:rPr>
          <w:sz w:val="20"/>
          <w:szCs w:val="20"/>
          <w:color w:val="auto"/>
        </w:rPr>
      </w:pPr>
      <w:r>
        <w:rPr>
          <w:rFonts w:ascii="Arial" w:cs="Arial" w:eastAsia="Arial" w:hAnsi="Arial"/>
          <w:sz w:val="16"/>
          <w:szCs w:val="16"/>
          <w:u w:val="single" w:color="auto"/>
          <w:color w:val="auto"/>
        </w:rPr>
        <w:t>The Plan</w:t>
      </w:r>
      <w:r>
        <w:rPr>
          <w:rFonts w:ascii="Arial" w:cs="Arial" w:eastAsia="Arial" w:hAnsi="Arial"/>
          <w:sz w:val="16"/>
          <w:szCs w:val="16"/>
          <w:color w:val="auto"/>
        </w:rPr>
        <w:t>. Pursuant to the requirements of the Securities Exchange Act of 1934, the Flowserve Corporation Pension and Investment Committee, which administers the Plan, has duly caused this annual report to be signed on behalf of the Plan by the undersigned hereunto duly authorized.</w:t>
      </w:r>
    </w:p>
    <w:p>
      <w:pPr>
        <w:spacing w:after="0" w:line="340"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Flowserve Corporation Retirement Savings Plan</w:t>
      </w:r>
    </w:p>
    <w:p>
      <w:pPr>
        <w:spacing w:after="0" w:line="277" w:lineRule="exact"/>
        <w:rPr>
          <w:sz w:val="20"/>
          <w:szCs w:val="20"/>
          <w:color w:val="auto"/>
        </w:rPr>
      </w:pPr>
    </w:p>
    <w:p>
      <w:pPr>
        <w:ind w:left="40"/>
        <w:spacing w:after="0"/>
        <w:tabs>
          <w:tab w:leader="none" w:pos="5640" w:val="left"/>
        </w:tabs>
        <w:rPr>
          <w:sz w:val="20"/>
          <w:szCs w:val="20"/>
          <w:color w:val="auto"/>
        </w:rPr>
      </w:pPr>
      <w:r>
        <w:rPr>
          <w:rFonts w:ascii="Arial" w:cs="Arial" w:eastAsia="Arial" w:hAnsi="Arial"/>
          <w:sz w:val="18"/>
          <w:szCs w:val="18"/>
          <w:color w:val="auto"/>
        </w:rPr>
        <w:t>Date: June 12, 2020</w:t>
      </w:r>
      <w:r>
        <w:rPr>
          <w:sz w:val="20"/>
          <w:szCs w:val="20"/>
          <w:color w:val="auto"/>
        </w:rPr>
        <w:tab/>
      </w:r>
      <w:r>
        <w:rPr>
          <w:rFonts w:ascii="Arial" w:cs="Arial" w:eastAsia="Arial" w:hAnsi="Arial"/>
          <w:sz w:val="16"/>
          <w:szCs w:val="16"/>
          <w:color w:val="auto"/>
        </w:rPr>
        <w:t xml:space="preserve">/s/ </w:t>
      </w:r>
      <w:r>
        <w:rPr>
          <w:rFonts w:ascii="Arial" w:cs="Arial" w:eastAsia="Arial" w:hAnsi="Arial"/>
          <w:sz w:val="17"/>
          <w:szCs w:val="17"/>
          <w:color w:val="auto"/>
        </w:rPr>
        <w:t>Shannon Barcroft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41910</wp:posOffset>
            </wp:positionV>
            <wp:extent cx="30346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034665" cy="8890"/>
                    </a:xfrm>
                    <a:prstGeom prst="rect">
                      <a:avLst/>
                    </a:prstGeom>
                    <a:noFill/>
                  </pic:spPr>
                </pic:pic>
              </a:graphicData>
            </a:graphic>
          </wp:anchor>
        </w:drawing>
      </w:r>
    </w:p>
    <w:p>
      <w:pPr>
        <w:spacing w:after="0" w:line="73"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Shannon Barcroft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31750</wp:posOffset>
            </wp:positionV>
            <wp:extent cx="303466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034665" cy="8255"/>
                    </a:xfrm>
                    <a:prstGeom prst="rect">
                      <a:avLst/>
                    </a:prstGeom>
                    <a:noFill/>
                  </pic:spPr>
                </pic:pic>
              </a:graphicData>
            </a:graphic>
          </wp:anchor>
        </w:drawing>
      </w:r>
    </w:p>
    <w:p>
      <w:pPr>
        <w:spacing w:after="0" w:line="57"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Vice President, Compensation and Benefits</w:t>
      </w:r>
    </w:p>
    <w:p>
      <w:pPr>
        <w:spacing w:after="0" w:line="23"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On behalf of the Flowserve Corporation Pension and Investment</w:t>
      </w:r>
    </w:p>
    <w:p>
      <w:pPr>
        <w:spacing w:after="0" w:line="9"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Committee</w:t>
      </w:r>
    </w:p>
    <w:p>
      <w:pPr>
        <w:sectPr>
          <w:pgSz w:w="11900" w:h="16838" w:orient="portrait"/>
          <w:cols w:equalWidth="0" w:num="1">
            <w:col w:w="11220"/>
          </w:cols>
          <w:pgMar w:left="320" w:top="661" w:right="359" w:bottom="1440" w:gutter="0" w:footer="0" w:header="0"/>
        </w:sectPr>
      </w:pPr>
    </w:p>
    <w:bookmarkStart w:id="3" w:name="page4"/>
    <w:bookmarkEnd w:id="3"/>
    <w:p>
      <w:pPr>
        <w:ind w:left="4580"/>
        <w:spacing w:after="0"/>
        <w:rPr>
          <w:sz w:val="20"/>
          <w:szCs w:val="20"/>
          <w:color w:val="auto"/>
        </w:rPr>
      </w:pPr>
      <w:r>
        <w:rPr>
          <w:rFonts w:ascii="Arial" w:cs="Arial" w:eastAsia="Arial" w:hAnsi="Arial"/>
          <w:sz w:val="18"/>
          <w:szCs w:val="18"/>
          <w:b w:val="1"/>
          <w:bCs w:val="1"/>
          <w:color w:val="auto"/>
        </w:rPr>
        <w:t>INDEX TO EXHIBITS</w:t>
      </w:r>
    </w:p>
    <w:p>
      <w:pPr>
        <w:spacing w:after="0" w:line="229" w:lineRule="exact"/>
        <w:rPr>
          <w:sz w:val="20"/>
          <w:szCs w:val="20"/>
          <w:color w:val="auto"/>
        </w:rPr>
      </w:pPr>
    </w:p>
    <w:p>
      <w:pPr>
        <w:ind w:left="400"/>
        <w:spacing w:after="0"/>
        <w:rPr>
          <w:sz w:val="20"/>
          <w:szCs w:val="20"/>
          <w:color w:val="auto"/>
        </w:rPr>
      </w:pPr>
      <w:r>
        <w:rPr>
          <w:rFonts w:ascii="Arial" w:cs="Arial" w:eastAsia="Arial" w:hAnsi="Arial"/>
          <w:sz w:val="18"/>
          <w:szCs w:val="18"/>
          <w:color w:val="auto"/>
        </w:rPr>
        <w:t>The following Exhibits are being filed with this Annual Report on Form 11-K:</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Exhibit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-83185</wp:posOffset>
            </wp:positionH>
            <wp:positionV relativeFrom="paragraph">
              <wp:posOffset>31750</wp:posOffset>
            </wp:positionV>
            <wp:extent cx="50546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05460" cy="8255"/>
                    </a:xfrm>
                    <a:prstGeom prst="rect">
                      <a:avLst/>
                    </a:prstGeom>
                    <a:noFill/>
                  </pic:spPr>
                </pic:pic>
              </a:graphicData>
            </a:graphic>
          </wp:anchor>
        </w:drawing>
      </w:r>
    </w:p>
    <w:p>
      <w:pPr>
        <w:spacing w:after="0" w:line="327" w:lineRule="exact"/>
        <w:rPr>
          <w:sz w:val="20"/>
          <w:szCs w:val="20"/>
          <w:color w:val="auto"/>
        </w:rPr>
      </w:pPr>
    </w:p>
    <w:p>
      <w:pPr>
        <w:ind w:left="100"/>
        <w:spacing w:after="0"/>
        <w:tabs>
          <w:tab w:leader="none" w:pos="880" w:val="left"/>
        </w:tabs>
        <w:rPr>
          <w:sz w:val="20"/>
          <w:szCs w:val="20"/>
          <w:color w:val="auto"/>
        </w:rPr>
      </w:pPr>
      <w:r>
        <w:rPr>
          <w:rFonts w:ascii="Arial" w:cs="Arial" w:eastAsia="Arial" w:hAnsi="Arial"/>
          <w:sz w:val="18"/>
          <w:szCs w:val="18"/>
          <w:color w:val="auto"/>
        </w:rPr>
        <w:t>23.1</w:t>
      </w:r>
      <w:r>
        <w:rPr>
          <w:sz w:val="20"/>
          <w:szCs w:val="20"/>
          <w:color w:val="auto"/>
        </w:rPr>
        <w:tab/>
      </w:r>
      <w:r>
        <w:rPr>
          <w:rFonts w:ascii="Arial" w:cs="Arial" w:eastAsia="Arial" w:hAnsi="Arial"/>
          <w:sz w:val="16"/>
          <w:szCs w:val="16"/>
          <w:color w:val="auto"/>
        </w:rPr>
        <w:t>Consent of Independent Registered Public Accounting Firm</w:t>
      </w:r>
    </w:p>
    <w:p>
      <w:pPr>
        <w:spacing w:after="0" w:line="333" w:lineRule="exact"/>
        <w:rPr>
          <w:sz w:val="20"/>
          <w:szCs w:val="20"/>
          <w:color w:val="auto"/>
        </w:rPr>
      </w:pPr>
    </w:p>
    <w:p>
      <w:pPr>
        <w:ind w:left="900" w:hanging="798"/>
        <w:spacing w:after="0" w:line="277" w:lineRule="auto"/>
        <w:tabs>
          <w:tab w:leader="none" w:pos="88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8"/>
          <w:szCs w:val="18"/>
          <w:color w:val="auto"/>
        </w:rPr>
        <w:t>Annual Financial Statements of the Flowserve Corporation Retirement Savings Plan as of December 31, 2019 and 2018 and for the year ended December 31, 2019 with Report of Independent Registered Public Accounting Firm.</w:t>
      </w:r>
    </w:p>
    <w:p>
      <w:pPr>
        <w:sectPr>
          <w:pgSz w:w="11900" w:h="16838" w:orient="portrait"/>
          <w:cols w:equalWidth="0" w:num="1">
            <w:col w:w="11060"/>
          </w:cols>
          <w:pgMar w:left="460" w:top="513" w:right="37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23.1</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00" w:lineRule="exact"/>
        <w:rPr>
          <w:sz w:val="20"/>
          <w:szCs w:val="20"/>
          <w:color w:val="auto"/>
        </w:rPr>
      </w:pPr>
    </w:p>
    <w:p>
      <w:pPr>
        <w:spacing w:after="0" w:line="202" w:lineRule="exact"/>
        <w:rPr>
          <w:sz w:val="20"/>
          <w:szCs w:val="20"/>
          <w:color w:val="auto"/>
        </w:rPr>
      </w:pPr>
    </w:p>
    <w:p>
      <w:pPr>
        <w:jc w:val="both"/>
        <w:spacing w:after="0" w:line="257" w:lineRule="auto"/>
        <w:rPr>
          <w:sz w:val="20"/>
          <w:szCs w:val="20"/>
          <w:color w:val="auto"/>
        </w:rPr>
      </w:pPr>
      <w:r>
        <w:rPr>
          <w:rFonts w:ascii="Arial" w:cs="Arial" w:eastAsia="Arial" w:hAnsi="Arial"/>
          <w:sz w:val="19"/>
          <w:szCs w:val="19"/>
          <w:color w:val="auto"/>
        </w:rPr>
        <w:t>We consent to the incorporation by reference in Registration Statement No. 333-82081 on Form S-8 of Flowserve Corporation of our report dated June 12, 2020, with respect to the statements of net assets available for benefits of the Flowserve Corporation Retirement Savings Plan as of December 31, 2019 and 2018, the related statement of changes in net assets available for benefits for the year ended December 31, 2019, and the related supplemental schedules of Form 5500, Schedule H, Line 4a - Schedule of Delinquent Participant Contributions for the year ended December 31, 2019, and Form 5500, Schedule H, Line 4i - Schedule of Assets (Held at End of Year) as of December 31, 2019, which report appears in the December 31, 2019 annual report on Form 11-K of the Flowserve Corporation Retirement Savings Plan for the year ended December 31, 2019.</w:t>
      </w: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Arial" w:cs="Arial" w:eastAsia="Arial" w:hAnsi="Arial"/>
          <w:sz w:val="20"/>
          <w:szCs w:val="20"/>
          <w:color w:val="auto"/>
        </w:rPr>
        <w:t>/s/ Whitley Penn LLP</w:t>
      </w: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Arial" w:cs="Arial" w:eastAsia="Arial" w:hAnsi="Arial"/>
          <w:sz w:val="20"/>
          <w:szCs w:val="20"/>
          <w:color w:val="auto"/>
        </w:rPr>
        <w:t>Fort Worth, Texas</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June 12, 2020</w:t>
      </w:r>
    </w:p>
    <w:p>
      <w:pPr>
        <w:sectPr>
          <w:pgSz w:w="11900" w:h="16838" w:orient="portrait"/>
          <w:cols w:equalWidth="0" w:num="1">
            <w:col w:w="11240"/>
          </w:cols>
          <w:pgMar w:left="320" w:top="769" w:right="339" w:bottom="1440" w:gutter="0" w:footer="0" w:header="0"/>
        </w:sectPr>
      </w:pPr>
    </w:p>
    <w:bookmarkStart w:id="5" w:name="page6"/>
    <w:bookmarkEnd w:id="5"/>
    <w:p>
      <w:pPr>
        <w:jc w:val="right"/>
        <w:spacing w:after="0"/>
        <w:rPr>
          <w:sz w:val="20"/>
          <w:szCs w:val="20"/>
          <w:color w:val="auto"/>
        </w:rPr>
      </w:pPr>
      <w:r>
        <w:rPr>
          <w:rFonts w:ascii="Arial" w:cs="Arial" w:eastAsia="Arial" w:hAnsi="Arial"/>
          <w:sz w:val="18"/>
          <w:szCs w:val="18"/>
          <w:b w:val="1"/>
          <w:bCs w:val="1"/>
          <w:color w:val="auto"/>
        </w:rPr>
        <w:t>EXHIBIT 99.1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2220"/>
        <w:spacing w:after="0"/>
        <w:rPr>
          <w:sz w:val="20"/>
          <w:szCs w:val="20"/>
          <w:color w:val="auto"/>
        </w:rPr>
      </w:pPr>
      <w:r>
        <w:rPr>
          <w:rFonts w:ascii="Arial" w:cs="Arial" w:eastAsia="Arial" w:hAnsi="Arial"/>
          <w:sz w:val="32"/>
          <w:szCs w:val="32"/>
          <w:b w:val="1"/>
          <w:bCs w:val="1"/>
          <w:color w:val="auto"/>
        </w:rPr>
        <w:t>FLOWSERVE CORPORATION</w:t>
      </w:r>
    </w:p>
    <w:p>
      <w:pPr>
        <w:spacing w:after="0" w:line="46" w:lineRule="exact"/>
        <w:rPr>
          <w:sz w:val="20"/>
          <w:szCs w:val="20"/>
          <w:color w:val="auto"/>
        </w:rPr>
      </w:pPr>
    </w:p>
    <w:p>
      <w:pPr>
        <w:ind w:left="2180"/>
        <w:spacing w:after="0"/>
        <w:rPr>
          <w:sz w:val="20"/>
          <w:szCs w:val="20"/>
          <w:color w:val="auto"/>
        </w:rPr>
      </w:pPr>
      <w:r>
        <w:rPr>
          <w:rFonts w:ascii="Arial" w:cs="Arial" w:eastAsia="Arial" w:hAnsi="Arial"/>
          <w:sz w:val="32"/>
          <w:szCs w:val="32"/>
          <w:b w:val="1"/>
          <w:bCs w:val="1"/>
          <w:color w:val="auto"/>
        </w:rPr>
        <w:t>RETIREMENT SAVINGS PLAN</w:t>
      </w:r>
    </w:p>
    <w:p>
      <w:pPr>
        <w:spacing w:after="0" w:line="222" w:lineRule="exact"/>
        <w:rPr>
          <w:sz w:val="20"/>
          <w:szCs w:val="20"/>
          <w:color w:val="auto"/>
        </w:rPr>
      </w:pPr>
    </w:p>
    <w:p>
      <w:pPr>
        <w:jc w:val="center"/>
        <w:ind w:right="1100"/>
        <w:spacing w:after="0"/>
        <w:rPr>
          <w:sz w:val="20"/>
          <w:szCs w:val="20"/>
          <w:color w:val="auto"/>
        </w:rPr>
      </w:pPr>
      <w:r>
        <w:rPr>
          <w:rFonts w:ascii="Arial" w:cs="Arial" w:eastAsia="Arial" w:hAnsi="Arial"/>
          <w:sz w:val="25"/>
          <w:szCs w:val="25"/>
          <w:b w:val="1"/>
          <w:bCs w:val="1"/>
          <w:color w:val="auto"/>
        </w:rPr>
        <w:t>FINANCIAL STATEMENTS</w:t>
      </w:r>
    </w:p>
    <w:p>
      <w:pPr>
        <w:spacing w:after="0" w:line="38" w:lineRule="exact"/>
        <w:rPr>
          <w:sz w:val="20"/>
          <w:szCs w:val="20"/>
          <w:color w:val="auto"/>
        </w:rPr>
      </w:pPr>
    </w:p>
    <w:p>
      <w:pPr>
        <w:jc w:val="center"/>
        <w:ind w:right="1100"/>
        <w:spacing w:after="0"/>
        <w:rPr>
          <w:sz w:val="20"/>
          <w:szCs w:val="20"/>
          <w:color w:val="auto"/>
        </w:rPr>
      </w:pPr>
      <w:r>
        <w:rPr>
          <w:rFonts w:ascii="Arial" w:cs="Arial" w:eastAsia="Arial" w:hAnsi="Arial"/>
          <w:sz w:val="25"/>
          <w:szCs w:val="25"/>
          <w:b w:val="1"/>
          <w:bCs w:val="1"/>
          <w:color w:val="auto"/>
        </w:rPr>
        <w:t>AND SUPPLEMENTAL SCHEDULES</w:t>
      </w:r>
    </w:p>
    <w:p>
      <w:pPr>
        <w:spacing w:after="0" w:line="234" w:lineRule="exact"/>
        <w:rPr>
          <w:sz w:val="20"/>
          <w:szCs w:val="20"/>
          <w:color w:val="auto"/>
        </w:rPr>
      </w:pPr>
    </w:p>
    <w:p>
      <w:pPr>
        <w:jc w:val="center"/>
        <w:ind w:right="1100"/>
        <w:spacing w:after="0"/>
        <w:rPr>
          <w:sz w:val="20"/>
          <w:szCs w:val="20"/>
          <w:color w:val="auto"/>
        </w:rPr>
      </w:pPr>
      <w:r>
        <w:rPr>
          <w:rFonts w:ascii="Arial" w:cs="Arial" w:eastAsia="Arial" w:hAnsi="Arial"/>
          <w:sz w:val="22"/>
          <w:szCs w:val="22"/>
          <w:b w:val="1"/>
          <w:bCs w:val="1"/>
          <w:color w:val="auto"/>
        </w:rPr>
        <w:t>AS OF DECEMBER 31, 2019 AND 2018 AND</w:t>
      </w:r>
    </w:p>
    <w:p>
      <w:pPr>
        <w:spacing w:after="0" w:line="27" w:lineRule="exact"/>
        <w:rPr>
          <w:sz w:val="20"/>
          <w:szCs w:val="20"/>
          <w:color w:val="auto"/>
        </w:rPr>
      </w:pPr>
    </w:p>
    <w:p>
      <w:pPr>
        <w:jc w:val="center"/>
        <w:ind w:right="1100"/>
        <w:spacing w:after="0"/>
        <w:rPr>
          <w:sz w:val="20"/>
          <w:szCs w:val="20"/>
          <w:color w:val="auto"/>
        </w:rPr>
      </w:pPr>
      <w:r>
        <w:rPr>
          <w:rFonts w:ascii="Arial" w:cs="Arial" w:eastAsia="Arial" w:hAnsi="Arial"/>
          <w:sz w:val="21"/>
          <w:szCs w:val="21"/>
          <w:b w:val="1"/>
          <w:bCs w:val="1"/>
          <w:color w:val="auto"/>
        </w:rPr>
        <w:t>FOR THE YEAR ENDED DECEMBER 31, 2019</w:t>
      </w:r>
    </w:p>
    <w:p>
      <w:pPr>
        <w:sectPr>
          <w:pgSz w:w="11900" w:h="16838" w:orient="portrait"/>
          <w:cols w:equalWidth="0" w:num="1">
            <w:col w:w="10120"/>
          </w:cols>
          <w:pgMar w:left="1440" w:top="769" w:right="339" w:bottom="1440" w:gutter="0" w:footer="0" w:header="0"/>
        </w:sectPr>
      </w:pPr>
    </w:p>
    <w:bookmarkStart w:id="6" w:name="page7"/>
    <w:bookmarkEnd w:id="6"/>
    <w:p>
      <w:pPr>
        <w:spacing w:after="0"/>
        <w:rPr>
          <w:sz w:val="20"/>
          <w:szCs w:val="20"/>
          <w:color w:val="auto"/>
        </w:rPr>
      </w:pPr>
      <w:r>
        <w:rPr>
          <w:rFonts w:ascii="Arial" w:cs="Arial" w:eastAsia="Arial" w:hAnsi="Arial"/>
          <w:sz w:val="25"/>
          <w:szCs w:val="25"/>
          <w:b w:val="1"/>
          <w:bCs w:val="1"/>
          <w:color w:val="auto"/>
        </w:rPr>
        <w:t>FLOWSERVE CORPORATION</w:t>
      </w:r>
    </w:p>
    <w:p>
      <w:pPr>
        <w:spacing w:after="0" w:line="38"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RETIREMENT SAVINGS PLAN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40"/>
        <w:spacing w:after="0"/>
        <w:rPr>
          <w:sz w:val="20"/>
          <w:szCs w:val="20"/>
          <w:color w:val="auto"/>
        </w:rPr>
      </w:pPr>
      <w:r>
        <w:rPr>
          <w:rFonts w:ascii="Arial" w:cs="Arial" w:eastAsia="Arial" w:hAnsi="Arial"/>
          <w:sz w:val="20"/>
          <w:szCs w:val="20"/>
          <w:b w:val="1"/>
          <w:bCs w:val="1"/>
          <w:color w:val="auto"/>
        </w:rPr>
        <w:t>INDEX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31115</wp:posOffset>
            </wp:positionV>
            <wp:extent cx="702945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02945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tbl>
      <w:tblPr>
        <w:tblLayout w:type="fixed"/>
        <w:tblInd w:w="40" w:type="dxa"/>
        <w:tblCellMar>
          <w:top w:w="0" w:type="dxa"/>
          <w:left w:w="0" w:type="dxa"/>
          <w:bottom w:w="0" w:type="dxa"/>
          <w:right w:w="0" w:type="dxa"/>
        </w:tblCellMar>
      </w:tblPr>
      <w:tr>
        <w:trPr>
          <w:trHeight w:val="250"/>
        </w:trPr>
        <w:tc>
          <w:tcPr>
            <w:tcW w:w="10500" w:type="dxa"/>
            <w:vAlign w:val="bottom"/>
          </w:tcPr>
          <w:p>
            <w:pPr>
              <w:spacing w:after="0"/>
              <w:rPr>
                <w:sz w:val="20"/>
                <w:szCs w:val="20"/>
                <w:color w:val="auto"/>
              </w:rPr>
            </w:pPr>
            <w:r>
              <w:rPr>
                <w:rFonts w:ascii="Arial" w:cs="Arial" w:eastAsia="Arial" w:hAnsi="Arial"/>
                <w:sz w:val="20"/>
                <w:szCs w:val="20"/>
                <w:color w:val="auto"/>
              </w:rPr>
              <w:t>Report of Independent Registered Public Accounting Firm</w:t>
            </w:r>
          </w:p>
        </w:tc>
        <w:tc>
          <w:tcPr>
            <w:tcW w:w="520" w:type="dxa"/>
            <w:vAlign w:val="bottom"/>
          </w:tcPr>
          <w:p>
            <w:pPr>
              <w:jc w:val="right"/>
              <w:spacing w:after="0"/>
              <w:rPr>
                <w:rFonts w:ascii="Arial" w:cs="Arial" w:eastAsia="Arial" w:hAnsi="Arial"/>
                <w:sz w:val="20"/>
                <w:szCs w:val="20"/>
                <w:u w:val="single" w:color="auto"/>
                <w:color w:val="0000EE"/>
              </w:rPr>
            </w:pPr>
            <w:hyperlink w:anchor="page8">
              <w:r>
                <w:rPr>
                  <w:rFonts w:ascii="Arial" w:cs="Arial" w:eastAsia="Arial" w:hAnsi="Arial"/>
                  <w:sz w:val="20"/>
                  <w:szCs w:val="20"/>
                  <w:u w:val="single" w:color="auto"/>
                  <w:color w:val="0000EE"/>
                </w:rPr>
                <w:t>1</w:t>
              </w:r>
            </w:hyperlink>
          </w:p>
        </w:tc>
      </w:tr>
      <w:tr>
        <w:trPr>
          <w:trHeight w:val="567"/>
        </w:trPr>
        <w:tc>
          <w:tcPr>
            <w:tcW w:w="10500" w:type="dxa"/>
            <w:vAlign w:val="bottom"/>
          </w:tcPr>
          <w:p>
            <w:pPr>
              <w:spacing w:after="0"/>
              <w:rPr>
                <w:sz w:val="20"/>
                <w:szCs w:val="20"/>
                <w:color w:val="auto"/>
              </w:rPr>
            </w:pPr>
            <w:r>
              <w:rPr>
                <w:rFonts w:ascii="Arial" w:cs="Arial" w:eastAsia="Arial" w:hAnsi="Arial"/>
                <w:sz w:val="20"/>
                <w:szCs w:val="20"/>
                <w:color w:val="auto"/>
              </w:rPr>
              <w:t>Financial Statements:</w:t>
            </w:r>
          </w:p>
        </w:tc>
        <w:tc>
          <w:tcPr>
            <w:tcW w:w="520" w:type="dxa"/>
            <w:vAlign w:val="bottom"/>
          </w:tcPr>
          <w:p>
            <w:pPr>
              <w:spacing w:after="0"/>
              <w:rPr>
                <w:sz w:val="24"/>
                <w:szCs w:val="24"/>
                <w:color w:val="auto"/>
              </w:rPr>
            </w:pPr>
          </w:p>
        </w:tc>
      </w:tr>
      <w:tr>
        <w:trPr>
          <w:trHeight w:val="567"/>
        </w:trPr>
        <w:tc>
          <w:tcPr>
            <w:tcW w:w="10500" w:type="dxa"/>
            <w:vAlign w:val="bottom"/>
          </w:tcPr>
          <w:p>
            <w:pPr>
              <w:ind w:left="340"/>
              <w:spacing w:after="0"/>
              <w:rPr>
                <w:sz w:val="20"/>
                <w:szCs w:val="20"/>
                <w:color w:val="auto"/>
              </w:rPr>
            </w:pPr>
            <w:r>
              <w:rPr>
                <w:rFonts w:ascii="Arial" w:cs="Arial" w:eastAsia="Arial" w:hAnsi="Arial"/>
                <w:sz w:val="20"/>
                <w:szCs w:val="20"/>
                <w:color w:val="auto"/>
              </w:rPr>
              <w:t>Statements of Net Assets Available for Benefits as of December 31, 2019 and 2018</w:t>
            </w:r>
          </w:p>
        </w:tc>
        <w:tc>
          <w:tcPr>
            <w:tcW w:w="520" w:type="dxa"/>
            <w:vAlign w:val="bottom"/>
          </w:tcPr>
          <w:p>
            <w:pPr>
              <w:jc w:val="right"/>
              <w:spacing w:after="0"/>
              <w:rPr>
                <w:rFonts w:ascii="Arial" w:cs="Arial" w:eastAsia="Arial" w:hAnsi="Arial"/>
                <w:sz w:val="20"/>
                <w:szCs w:val="20"/>
                <w:u w:val="single" w:color="auto"/>
                <w:color w:val="0000EE"/>
              </w:rPr>
            </w:pPr>
            <w:hyperlink w:anchor="page9">
              <w:r>
                <w:rPr>
                  <w:rFonts w:ascii="Arial" w:cs="Arial" w:eastAsia="Arial" w:hAnsi="Arial"/>
                  <w:sz w:val="20"/>
                  <w:szCs w:val="20"/>
                  <w:u w:val="single" w:color="auto"/>
                  <w:color w:val="0000EE"/>
                </w:rPr>
                <w:t>2</w:t>
              </w:r>
            </w:hyperlink>
          </w:p>
        </w:tc>
      </w:tr>
      <w:tr>
        <w:trPr>
          <w:trHeight w:val="567"/>
        </w:trPr>
        <w:tc>
          <w:tcPr>
            <w:tcW w:w="10500" w:type="dxa"/>
            <w:vAlign w:val="bottom"/>
          </w:tcPr>
          <w:p>
            <w:pPr>
              <w:ind w:left="340"/>
              <w:spacing w:after="0"/>
              <w:rPr>
                <w:sz w:val="20"/>
                <w:szCs w:val="20"/>
                <w:color w:val="auto"/>
              </w:rPr>
            </w:pPr>
            <w:r>
              <w:rPr>
                <w:rFonts w:ascii="Arial" w:cs="Arial" w:eastAsia="Arial" w:hAnsi="Arial"/>
                <w:sz w:val="20"/>
                <w:szCs w:val="20"/>
                <w:color w:val="auto"/>
              </w:rPr>
              <w:t>Statement of Changes in Net Assets Available for Benefits for the Year Ended December 31, 2019</w:t>
            </w:r>
          </w:p>
        </w:tc>
        <w:tc>
          <w:tcPr>
            <w:tcW w:w="520" w:type="dxa"/>
            <w:vAlign w:val="bottom"/>
          </w:tcPr>
          <w:p>
            <w:pPr>
              <w:jc w:val="right"/>
              <w:spacing w:after="0"/>
              <w:rPr>
                <w:rFonts w:ascii="Arial" w:cs="Arial" w:eastAsia="Arial" w:hAnsi="Arial"/>
                <w:sz w:val="20"/>
                <w:szCs w:val="20"/>
                <w:u w:val="single" w:color="auto"/>
                <w:color w:val="0000EE"/>
              </w:rPr>
            </w:pPr>
            <w:hyperlink w:anchor="page10">
              <w:r>
                <w:rPr>
                  <w:rFonts w:ascii="Arial" w:cs="Arial" w:eastAsia="Arial" w:hAnsi="Arial"/>
                  <w:sz w:val="20"/>
                  <w:szCs w:val="20"/>
                  <w:u w:val="single" w:color="auto"/>
                  <w:color w:val="0000EE"/>
                </w:rPr>
                <w:t>3</w:t>
              </w:r>
            </w:hyperlink>
          </w:p>
        </w:tc>
      </w:tr>
      <w:tr>
        <w:trPr>
          <w:trHeight w:val="567"/>
        </w:trPr>
        <w:tc>
          <w:tcPr>
            <w:tcW w:w="10500" w:type="dxa"/>
            <w:vAlign w:val="bottom"/>
          </w:tcPr>
          <w:p>
            <w:pPr>
              <w:ind w:left="340"/>
              <w:spacing w:after="0"/>
              <w:rPr>
                <w:sz w:val="20"/>
                <w:szCs w:val="20"/>
                <w:color w:val="auto"/>
              </w:rPr>
            </w:pPr>
            <w:r>
              <w:rPr>
                <w:rFonts w:ascii="Arial" w:cs="Arial" w:eastAsia="Arial" w:hAnsi="Arial"/>
                <w:sz w:val="20"/>
                <w:szCs w:val="20"/>
                <w:color w:val="auto"/>
              </w:rPr>
              <w:t>Notes to Financial Statements</w:t>
            </w:r>
          </w:p>
        </w:tc>
        <w:tc>
          <w:tcPr>
            <w:tcW w:w="520" w:type="dxa"/>
            <w:vAlign w:val="bottom"/>
          </w:tcPr>
          <w:p>
            <w:pPr>
              <w:jc w:val="right"/>
              <w:spacing w:after="0"/>
              <w:rPr>
                <w:rFonts w:ascii="Arial" w:cs="Arial" w:eastAsia="Arial" w:hAnsi="Arial"/>
                <w:sz w:val="20"/>
                <w:szCs w:val="20"/>
                <w:u w:val="single" w:color="auto"/>
                <w:color w:val="0000EE"/>
              </w:rPr>
            </w:pPr>
            <w:hyperlink w:anchor="page11">
              <w:r>
                <w:rPr>
                  <w:rFonts w:ascii="Arial" w:cs="Arial" w:eastAsia="Arial" w:hAnsi="Arial"/>
                  <w:sz w:val="20"/>
                  <w:szCs w:val="20"/>
                  <w:u w:val="single" w:color="auto"/>
                  <w:color w:val="0000EE"/>
                </w:rPr>
                <w:t>4</w:t>
              </w:r>
            </w:hyperlink>
          </w:p>
        </w:tc>
      </w:tr>
      <w:tr>
        <w:trPr>
          <w:trHeight w:val="567"/>
        </w:trPr>
        <w:tc>
          <w:tcPr>
            <w:tcW w:w="10500" w:type="dxa"/>
            <w:vAlign w:val="bottom"/>
          </w:tcPr>
          <w:p>
            <w:pPr>
              <w:spacing w:after="0"/>
              <w:rPr>
                <w:sz w:val="20"/>
                <w:szCs w:val="20"/>
                <w:color w:val="auto"/>
              </w:rPr>
            </w:pPr>
            <w:r>
              <w:rPr>
                <w:rFonts w:ascii="Arial" w:cs="Arial" w:eastAsia="Arial" w:hAnsi="Arial"/>
                <w:sz w:val="20"/>
                <w:szCs w:val="20"/>
                <w:color w:val="auto"/>
              </w:rPr>
              <w:t>Supplemental Schedules:</w:t>
            </w:r>
          </w:p>
        </w:tc>
        <w:tc>
          <w:tcPr>
            <w:tcW w:w="520" w:type="dxa"/>
            <w:vAlign w:val="bottom"/>
          </w:tcPr>
          <w:p>
            <w:pPr>
              <w:spacing w:after="0"/>
              <w:rPr>
                <w:sz w:val="24"/>
                <w:szCs w:val="24"/>
                <w:color w:val="auto"/>
              </w:rPr>
            </w:pPr>
          </w:p>
        </w:tc>
      </w:tr>
      <w:tr>
        <w:trPr>
          <w:trHeight w:val="567"/>
        </w:trPr>
        <w:tc>
          <w:tcPr>
            <w:tcW w:w="10500" w:type="dxa"/>
            <w:vAlign w:val="bottom"/>
          </w:tcPr>
          <w:p>
            <w:pPr>
              <w:ind w:left="340"/>
              <w:spacing w:after="0"/>
              <w:rPr>
                <w:sz w:val="20"/>
                <w:szCs w:val="20"/>
                <w:color w:val="auto"/>
              </w:rPr>
            </w:pPr>
            <w:r>
              <w:rPr>
                <w:rFonts w:ascii="Arial" w:cs="Arial" w:eastAsia="Arial" w:hAnsi="Arial"/>
                <w:sz w:val="20"/>
                <w:szCs w:val="20"/>
                <w:color w:val="auto"/>
                <w:w w:val="92"/>
              </w:rPr>
              <w:t>Form 5500, Schedule H, Line 4a – Schedule of Delinquent Participant Contributions for the Year Ended December 31, 2019</w:t>
            </w:r>
          </w:p>
        </w:tc>
        <w:tc>
          <w:tcPr>
            <w:tcW w:w="520" w:type="dxa"/>
            <w:vAlign w:val="bottom"/>
          </w:tcPr>
          <w:p>
            <w:pPr>
              <w:jc w:val="right"/>
              <w:spacing w:after="0"/>
              <w:rPr>
                <w:rFonts w:ascii="Arial" w:cs="Arial" w:eastAsia="Arial" w:hAnsi="Arial"/>
                <w:sz w:val="20"/>
                <w:szCs w:val="20"/>
                <w:u w:val="single" w:color="auto"/>
                <w:color w:val="0000EE"/>
              </w:rPr>
            </w:pPr>
            <w:hyperlink w:anchor="page19">
              <w:r>
                <w:rPr>
                  <w:rFonts w:ascii="Arial" w:cs="Arial" w:eastAsia="Arial" w:hAnsi="Arial"/>
                  <w:sz w:val="20"/>
                  <w:szCs w:val="20"/>
                  <w:u w:val="single" w:color="auto"/>
                  <w:color w:val="0000EE"/>
                </w:rPr>
                <w:t>12</w:t>
              </w:r>
            </w:hyperlink>
          </w:p>
        </w:tc>
      </w:tr>
      <w:tr>
        <w:trPr>
          <w:trHeight w:val="607"/>
        </w:trPr>
        <w:tc>
          <w:tcPr>
            <w:tcW w:w="10500" w:type="dxa"/>
            <w:vAlign w:val="bottom"/>
          </w:tcPr>
          <w:p>
            <w:pPr>
              <w:ind w:left="340"/>
              <w:spacing w:after="0"/>
              <w:rPr>
                <w:sz w:val="20"/>
                <w:szCs w:val="20"/>
                <w:color w:val="auto"/>
              </w:rPr>
            </w:pPr>
            <w:r>
              <w:rPr>
                <w:rFonts w:ascii="Arial" w:cs="Arial" w:eastAsia="Arial" w:hAnsi="Arial"/>
                <w:sz w:val="20"/>
                <w:szCs w:val="20"/>
                <w:color w:val="auto"/>
              </w:rPr>
              <w:t>Form 5500, Schedule H, Line 4i – Schedule of Assets (Held at End of Year) as of December 31, 2019</w:t>
            </w:r>
          </w:p>
        </w:tc>
        <w:tc>
          <w:tcPr>
            <w:tcW w:w="520" w:type="dxa"/>
            <w:vAlign w:val="bottom"/>
          </w:tcPr>
          <w:p>
            <w:pPr>
              <w:jc w:val="right"/>
              <w:spacing w:after="0"/>
              <w:rPr>
                <w:rFonts w:ascii="Arial" w:cs="Arial" w:eastAsia="Arial" w:hAnsi="Arial"/>
                <w:sz w:val="20"/>
                <w:szCs w:val="20"/>
                <w:u w:val="single" w:color="auto"/>
                <w:color w:val="0000EE"/>
              </w:rPr>
            </w:pPr>
            <w:hyperlink w:anchor="page20">
              <w:r>
                <w:rPr>
                  <w:rFonts w:ascii="Arial" w:cs="Arial" w:eastAsia="Arial" w:hAnsi="Arial"/>
                  <w:sz w:val="20"/>
                  <w:szCs w:val="20"/>
                  <w:u w:val="single" w:color="auto"/>
                  <w:color w:val="0000EE"/>
                </w:rPr>
                <w:t>13</w:t>
              </w:r>
            </w:hyperlink>
          </w:p>
        </w:tc>
      </w:tr>
    </w:tbl>
    <w:p>
      <w:pPr>
        <w:sectPr>
          <w:pgSz w:w="11900" w:h="16838" w:orient="portrait"/>
          <w:cols w:equalWidth="0" w:num="1">
            <w:col w:w="11060"/>
          </w:cols>
          <w:pgMar w:left="320" w:top="711" w:right="519" w:bottom="1440" w:gutter="0" w:footer="0" w:header="0"/>
        </w:sectPr>
      </w:pPr>
    </w:p>
    <w:bookmarkStart w:id="7" w:name="page8"/>
    <w:bookmarkEnd w:id="7"/>
    <w:p>
      <w:pPr>
        <w:ind w:left="2240"/>
        <w:spacing w:after="0"/>
        <w:rPr>
          <w:sz w:val="20"/>
          <w:szCs w:val="20"/>
          <w:color w:val="auto"/>
        </w:rPr>
      </w:pPr>
      <w:r>
        <w:rPr>
          <w:rFonts w:ascii="Arial" w:cs="Arial" w:eastAsia="Arial" w:hAnsi="Arial"/>
          <w:sz w:val="20"/>
          <w:szCs w:val="20"/>
          <w:b w:val="1"/>
          <w:bCs w:val="1"/>
          <w:color w:val="auto"/>
        </w:rPr>
        <w:t>REPORT OF INDEPENDENT REGISTERED PUBLIC ACCOUNTING FIRM</w:t>
      </w:r>
    </w:p>
    <w:p>
      <w:pPr>
        <w:spacing w:after="0" w:line="181" w:lineRule="exact"/>
        <w:rPr>
          <w:sz w:val="20"/>
          <w:szCs w:val="20"/>
          <w:color w:val="auto"/>
        </w:rPr>
      </w:pPr>
    </w:p>
    <w:p>
      <w:pPr>
        <w:spacing w:after="0"/>
        <w:rPr>
          <w:sz w:val="20"/>
          <w:szCs w:val="20"/>
          <w:color w:val="auto"/>
        </w:rPr>
      </w:pPr>
      <w:r>
        <w:rPr>
          <w:rFonts w:ascii="Arial" w:cs="Arial" w:eastAsia="Arial" w:hAnsi="Arial"/>
          <w:sz w:val="20"/>
          <w:szCs w:val="20"/>
          <w:color w:val="auto"/>
        </w:rPr>
        <w:t>To the Participants and Administrator of the</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Flowserve Corporation Retirement Savings Plan</w:t>
      </w:r>
    </w:p>
    <w:p>
      <w:pPr>
        <w:spacing w:after="0" w:line="16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Opinion on the Financial Statements</w:t>
      </w:r>
    </w:p>
    <w:p>
      <w:pPr>
        <w:spacing w:after="0" w:line="235" w:lineRule="exact"/>
        <w:rPr>
          <w:sz w:val="20"/>
          <w:szCs w:val="20"/>
          <w:color w:val="auto"/>
        </w:rPr>
      </w:pPr>
    </w:p>
    <w:p>
      <w:pPr>
        <w:jc w:val="both"/>
        <w:spacing w:after="0" w:line="243" w:lineRule="auto"/>
        <w:rPr>
          <w:sz w:val="20"/>
          <w:szCs w:val="20"/>
          <w:color w:val="auto"/>
        </w:rPr>
      </w:pPr>
      <w:r>
        <w:rPr>
          <w:rFonts w:ascii="Arial" w:cs="Arial" w:eastAsia="Arial" w:hAnsi="Arial"/>
          <w:sz w:val="20"/>
          <w:szCs w:val="20"/>
          <w:color w:val="auto"/>
        </w:rPr>
        <w:t>We have audited the accompanying statements of net assets available for benefits of the Flowserve Corporation Retirement Savings Plan (the “Plan”) as of December 31, 2019 and 2018, and the related statement of changes in net assets available for benefits for the year ended December 31, 2019, and the related notes (collectively referred to as the financial statements). In our opinion, the financial statements present fairly, in all material respects, the net assets available for benefits of the Plan as of December 31, 2019 and 2018, and the changes in net assets available for benefits for the year ended December 31, 2019, in conformity with accounting principles generally accepted in the United States of America.</w:t>
      </w:r>
    </w:p>
    <w:p>
      <w:pPr>
        <w:spacing w:after="0" w:line="16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Basis for Opinion</w:t>
      </w:r>
    </w:p>
    <w:p>
      <w:pPr>
        <w:spacing w:after="0" w:line="195" w:lineRule="exact"/>
        <w:rPr>
          <w:sz w:val="20"/>
          <w:szCs w:val="20"/>
          <w:color w:val="auto"/>
        </w:rPr>
      </w:pPr>
    </w:p>
    <w:p>
      <w:pPr>
        <w:jc w:val="both"/>
        <w:spacing w:after="0" w:line="263" w:lineRule="auto"/>
        <w:rPr>
          <w:sz w:val="20"/>
          <w:szCs w:val="20"/>
          <w:color w:val="auto"/>
        </w:rPr>
      </w:pPr>
      <w:r>
        <w:rPr>
          <w:rFonts w:ascii="Arial" w:cs="Arial" w:eastAsia="Arial" w:hAnsi="Arial"/>
          <w:sz w:val="19"/>
          <w:szCs w:val="19"/>
          <w:color w:val="auto"/>
        </w:rPr>
        <w:t>These financial statements are the responsibility of the Plan’s management. Our responsibility is to express an opinion on the Plan’s financial statements based on our audits. We are a public accounting firm registered with the Public Company Accounting Oversight Board (United States) (“PCAOB”) and are required to be independent with respect to the Plan in accordance with the U.S. federal securities laws and the applicable rules and regulations of the Securities and Exchange Commission and the PCAOB.</w:t>
      </w:r>
    </w:p>
    <w:p>
      <w:pPr>
        <w:spacing w:after="0" w:line="190" w:lineRule="exact"/>
        <w:rPr>
          <w:sz w:val="20"/>
          <w:szCs w:val="20"/>
          <w:color w:val="auto"/>
        </w:rPr>
      </w:pPr>
    </w:p>
    <w:p>
      <w:pPr>
        <w:jc w:val="both"/>
        <w:spacing w:after="0" w:line="316" w:lineRule="auto"/>
        <w:rPr>
          <w:sz w:val="20"/>
          <w:szCs w:val="20"/>
          <w:color w:val="auto"/>
        </w:rPr>
      </w:pPr>
      <w:r>
        <w:rPr>
          <w:rFonts w:ascii="Arial" w:cs="Arial" w:eastAsia="Arial" w:hAnsi="Arial"/>
          <w:sz w:val="18"/>
          <w:szCs w:val="18"/>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w:t>
      </w:r>
    </w:p>
    <w:p>
      <w:pPr>
        <w:spacing w:after="0" w:line="143" w:lineRule="exact"/>
        <w:rPr>
          <w:sz w:val="20"/>
          <w:szCs w:val="20"/>
          <w:color w:val="auto"/>
        </w:rPr>
      </w:pPr>
    </w:p>
    <w:p>
      <w:pPr>
        <w:jc w:val="both"/>
        <w:spacing w:after="0" w:line="244" w:lineRule="auto"/>
        <w:rPr>
          <w:sz w:val="20"/>
          <w:szCs w:val="20"/>
          <w:color w:val="auto"/>
        </w:rPr>
      </w:pPr>
      <w:r>
        <w:rPr>
          <w:rFonts w:ascii="Arial" w:cs="Arial" w:eastAsia="Arial" w:hAnsi="Arial"/>
          <w:sz w:val="20"/>
          <w:szCs w:val="20"/>
          <w:color w:val="auto"/>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6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Supplemental Information</w:t>
      </w:r>
    </w:p>
    <w:p>
      <w:pPr>
        <w:spacing w:after="0" w:line="195" w:lineRule="exact"/>
        <w:rPr>
          <w:sz w:val="20"/>
          <w:szCs w:val="20"/>
          <w:color w:val="auto"/>
        </w:rPr>
      </w:pPr>
    </w:p>
    <w:p>
      <w:pPr>
        <w:jc w:val="both"/>
        <w:spacing w:after="0" w:line="310" w:lineRule="auto"/>
        <w:rPr>
          <w:sz w:val="20"/>
          <w:szCs w:val="20"/>
          <w:color w:val="auto"/>
        </w:rPr>
      </w:pPr>
      <w:r>
        <w:rPr>
          <w:rFonts w:ascii="Arial" w:cs="Arial" w:eastAsia="Arial" w:hAnsi="Arial"/>
          <w:sz w:val="16"/>
          <w:szCs w:val="16"/>
          <w:color w:val="auto"/>
        </w:rPr>
        <w:t>The supplemental information in the accompanying schedules of Form 5500, Schedule H, Line 4a - Schedule of Delinquent Participant Contributions for the year ended December 31, 2019; and Form 5500, Schedule H, Line 4i - Schedule of Assets (Held at End of Year) as of December 31, 2019, have been subjected to audit procedures performed in conjunction with the audit of the Plan’s financial statements. The supplemental information is the responsibility of the Plan’s management. Our audit procedures included determining whether the supplemental information reconciles to the financial statements or the underlying accounting and other records, as applicable, and performing procedures to test the completeness and accuracy of the information presented in the supplemental information. In forming our opinion on the supplemental information, we evaluated whether the supplemental information, including its form and content, is presented in conformity with the Department of Labor’s Rules and Regulations for Reporting and Disclosure under the Employee Retirement Income Security Act of 1974. In our opinion, the supplemental information is fairly stated, in all material respects, in relation to the financial statements as a whole.</w:t>
      </w:r>
    </w:p>
    <w:p>
      <w:pPr>
        <w:spacing w:after="0" w:line="237" w:lineRule="exact"/>
        <w:rPr>
          <w:sz w:val="20"/>
          <w:szCs w:val="20"/>
          <w:color w:val="auto"/>
        </w:rPr>
      </w:pPr>
    </w:p>
    <w:p>
      <w:pPr>
        <w:spacing w:after="0"/>
        <w:rPr>
          <w:sz w:val="20"/>
          <w:szCs w:val="20"/>
          <w:color w:val="auto"/>
        </w:rPr>
      </w:pPr>
      <w:r>
        <w:rPr>
          <w:rFonts w:ascii="Arial" w:cs="Arial" w:eastAsia="Arial" w:hAnsi="Arial"/>
          <w:sz w:val="20"/>
          <w:szCs w:val="20"/>
          <w:color w:val="auto"/>
        </w:rPr>
        <w:t>/s/ Whitley Penn LLP</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We have served as the Plan’s auditor since 2007.</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Fort Worth, Texas</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June 12, 2020</w:t>
      </w: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40"/>
          </w:cols>
          <w:pgMar w:left="320" w:top="724" w:right="339" w:bottom="1440" w:gutter="0" w:footer="0" w:header="0"/>
        </w:sectPr>
      </w:pPr>
    </w:p>
    <w:bookmarkStart w:id="8" w:name="page9"/>
    <w:bookmarkEnd w:id="8"/>
    <w:p>
      <w:pPr>
        <w:spacing w:after="0"/>
        <w:rPr>
          <w:sz w:val="20"/>
          <w:szCs w:val="20"/>
          <w:color w:val="auto"/>
        </w:rPr>
      </w:pPr>
      <w:r>
        <w:rPr>
          <w:rFonts w:ascii="Arial" w:cs="Arial" w:eastAsia="Arial" w:hAnsi="Arial"/>
          <w:sz w:val="25"/>
          <w:szCs w:val="25"/>
          <w:b w:val="1"/>
          <w:bCs w:val="1"/>
          <w:color w:val="auto"/>
        </w:rPr>
        <w:t>FLOWSERVE CORPORATION</w:t>
      </w:r>
    </w:p>
    <w:p>
      <w:pPr>
        <w:spacing w:after="0" w:line="38"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RETIREMENT SAVINGS PLAN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STATEMENTS OF NET ASSETS AVAILABLE FOR BENEFITS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74295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0"/>
          <w:szCs w:val="20"/>
          <w:color w:val="auto"/>
        </w:rPr>
      </w:pPr>
    </w:p>
    <w:p>
      <w:pPr>
        <w:spacing w:after="0" w:line="374"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4240" w:type="dxa"/>
            <w:vAlign w:val="bottom"/>
          </w:tcPr>
          <w:p>
            <w:pPr>
              <w:spacing w:after="0"/>
              <w:rPr>
                <w:sz w:val="22"/>
                <w:szCs w:val="22"/>
                <w:color w:val="auto"/>
              </w:rPr>
            </w:pPr>
          </w:p>
        </w:tc>
        <w:tc>
          <w:tcPr>
            <w:tcW w:w="25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2540" w:type="dxa"/>
            <w:vAlign w:val="bottom"/>
            <w:gridSpan w:val="3"/>
          </w:tcPr>
          <w:p>
            <w:pPr>
              <w:jc w:val="right"/>
              <w:ind w:right="101"/>
              <w:spacing w:after="0"/>
              <w:rPr>
                <w:sz w:val="20"/>
                <w:szCs w:val="20"/>
                <w:color w:val="auto"/>
              </w:rPr>
            </w:pPr>
            <w:r>
              <w:rPr>
                <w:rFonts w:ascii="Arial" w:cs="Arial" w:eastAsia="Arial" w:hAnsi="Arial"/>
                <w:sz w:val="20"/>
                <w:szCs w:val="20"/>
                <w:b w:val="1"/>
                <w:bCs w:val="1"/>
                <w:color w:val="auto"/>
              </w:rPr>
              <w:t>December 31,</w:t>
            </w:r>
          </w:p>
        </w:tc>
        <w:tc>
          <w:tcPr>
            <w:tcW w:w="1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
        </w:trPr>
        <w:tc>
          <w:tcPr>
            <w:tcW w:w="4240" w:type="dxa"/>
            <w:vAlign w:val="bottom"/>
          </w:tcPr>
          <w:p>
            <w:pPr>
              <w:spacing w:after="0"/>
              <w:rPr>
                <w:sz w:val="2"/>
                <w:szCs w:val="2"/>
                <w:color w:val="auto"/>
              </w:rPr>
            </w:pPr>
          </w:p>
        </w:tc>
        <w:tc>
          <w:tcPr>
            <w:tcW w:w="250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4"/>
        </w:trPr>
        <w:tc>
          <w:tcPr>
            <w:tcW w:w="4240" w:type="dxa"/>
            <w:vAlign w:val="bottom"/>
          </w:tcPr>
          <w:p>
            <w:pPr>
              <w:spacing w:after="0"/>
              <w:rPr>
                <w:sz w:val="22"/>
                <w:szCs w:val="22"/>
                <w:color w:val="auto"/>
              </w:rPr>
            </w:pPr>
          </w:p>
        </w:tc>
        <w:tc>
          <w:tcPr>
            <w:tcW w:w="25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640" w:type="dxa"/>
            <w:vAlign w:val="bottom"/>
          </w:tcPr>
          <w:p>
            <w:pPr>
              <w:jc w:val="right"/>
              <w:ind w:right="781"/>
              <w:spacing w:after="0"/>
              <w:rPr>
                <w:sz w:val="20"/>
                <w:szCs w:val="20"/>
                <w:color w:val="auto"/>
              </w:rPr>
            </w:pPr>
            <w:r>
              <w:rPr>
                <w:rFonts w:ascii="Arial" w:cs="Arial" w:eastAsia="Arial" w:hAnsi="Arial"/>
                <w:sz w:val="20"/>
                <w:szCs w:val="20"/>
                <w:b w:val="1"/>
                <w:bCs w:val="1"/>
                <w:color w:val="auto"/>
              </w:rPr>
              <w:t>2019</w:t>
            </w:r>
          </w:p>
        </w:tc>
        <w:tc>
          <w:tcPr>
            <w:tcW w:w="2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460" w:type="dxa"/>
            <w:vAlign w:val="bottom"/>
          </w:tcPr>
          <w:p>
            <w:pPr>
              <w:jc w:val="right"/>
              <w:ind w:right="781"/>
              <w:spacing w:after="0"/>
              <w:rPr>
                <w:sz w:val="20"/>
                <w:szCs w:val="20"/>
                <w:color w:val="auto"/>
              </w:rPr>
            </w:pPr>
            <w:r>
              <w:rPr>
                <w:rFonts w:ascii="Arial" w:cs="Arial" w:eastAsia="Arial" w:hAnsi="Arial"/>
                <w:sz w:val="20"/>
                <w:szCs w:val="20"/>
                <w:b w:val="1"/>
                <w:bCs w:val="1"/>
                <w:color w:val="auto"/>
              </w:rPr>
              <w:t>2018</w:t>
            </w:r>
          </w:p>
        </w:tc>
        <w:tc>
          <w:tcPr>
            <w:tcW w:w="0" w:type="dxa"/>
            <w:vAlign w:val="bottom"/>
          </w:tcPr>
          <w:p>
            <w:pPr>
              <w:spacing w:after="0"/>
              <w:rPr>
                <w:sz w:val="1"/>
                <w:szCs w:val="1"/>
                <w:color w:val="auto"/>
              </w:rPr>
            </w:pPr>
          </w:p>
        </w:tc>
      </w:tr>
      <w:tr>
        <w:trPr>
          <w:trHeight w:val="23"/>
        </w:trPr>
        <w:tc>
          <w:tcPr>
            <w:tcW w:w="4240" w:type="dxa"/>
            <w:vAlign w:val="bottom"/>
          </w:tcPr>
          <w:p>
            <w:pPr>
              <w:spacing w:after="0"/>
              <w:rPr>
                <w:sz w:val="2"/>
                <w:szCs w:val="2"/>
                <w:color w:val="auto"/>
              </w:rPr>
            </w:pPr>
          </w:p>
        </w:tc>
        <w:tc>
          <w:tcPr>
            <w:tcW w:w="3000" w:type="dxa"/>
            <w:vAlign w:val="bottom"/>
            <w:gridSpan w:val="2"/>
          </w:tcPr>
          <w:p>
            <w:pPr>
              <w:spacing w:after="0"/>
              <w:rPr>
                <w:sz w:val="2"/>
                <w:szCs w:val="2"/>
                <w:color w:val="auto"/>
              </w:rPr>
            </w:pPr>
          </w:p>
        </w:tc>
        <w:tc>
          <w:tcPr>
            <w:tcW w:w="1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4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1"/>
        </w:trPr>
        <w:tc>
          <w:tcPr>
            <w:tcW w:w="4240" w:type="dxa"/>
            <w:vAlign w:val="bottom"/>
            <w:vMerge w:val="restart"/>
          </w:tcPr>
          <w:p>
            <w:pPr>
              <w:ind w:left="40"/>
              <w:spacing w:after="0"/>
              <w:rPr>
                <w:sz w:val="20"/>
                <w:szCs w:val="20"/>
                <w:color w:val="auto"/>
              </w:rPr>
            </w:pPr>
            <w:r>
              <w:rPr>
                <w:rFonts w:ascii="Arial" w:cs="Arial" w:eastAsia="Arial" w:hAnsi="Arial"/>
                <w:sz w:val="20"/>
                <w:szCs w:val="20"/>
                <w:color w:val="auto"/>
              </w:rPr>
              <w:t>Investments:</w:t>
            </w:r>
          </w:p>
        </w:tc>
        <w:tc>
          <w:tcPr>
            <w:tcW w:w="2500" w:type="dxa"/>
            <w:vAlign w:val="bottom"/>
          </w:tcPr>
          <w:p>
            <w:pPr>
              <w:ind w:left="1020"/>
              <w:spacing w:after="0"/>
              <w:rPr>
                <w:sz w:val="20"/>
                <w:szCs w:val="20"/>
                <w:color w:val="auto"/>
              </w:rPr>
            </w:pPr>
            <w:r>
              <w:rPr>
                <w:rFonts w:ascii="Arial" w:cs="Arial" w:eastAsia="Arial" w:hAnsi="Arial"/>
                <w:sz w:val="20"/>
                <w:szCs w:val="20"/>
                <w:b w:val="1"/>
                <w:bCs w:val="1"/>
                <w:color w:val="auto"/>
              </w:rPr>
              <w:t>ASSETS</w:t>
            </w:r>
          </w:p>
        </w:tc>
        <w:tc>
          <w:tcPr>
            <w:tcW w:w="500" w:type="dxa"/>
            <w:vAlign w:val="bottom"/>
            <w:tcBorders>
              <w:top w:val="single" w:sz="8" w:color="auto"/>
            </w:tcBorders>
          </w:tcPr>
          <w:p>
            <w:pPr>
              <w:spacing w:after="0"/>
              <w:rPr>
                <w:sz w:val="20"/>
                <w:szCs w:val="20"/>
                <w:color w:val="auto"/>
              </w:rPr>
            </w:pPr>
          </w:p>
        </w:tc>
        <w:tc>
          <w:tcPr>
            <w:tcW w:w="1640" w:type="dxa"/>
            <w:vAlign w:val="bottom"/>
            <w:tcBorders>
              <w:top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680" w:type="dxa"/>
            <w:vAlign w:val="bottom"/>
            <w:tcBorders>
              <w:top w:val="single" w:sz="8" w:color="auto"/>
            </w:tcBorders>
          </w:tcPr>
          <w:p>
            <w:pPr>
              <w:spacing w:after="0"/>
              <w:rPr>
                <w:sz w:val="20"/>
                <w:szCs w:val="20"/>
                <w:color w:val="auto"/>
              </w:rPr>
            </w:pPr>
          </w:p>
        </w:tc>
        <w:tc>
          <w:tcPr>
            <w:tcW w:w="146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84"/>
        </w:trPr>
        <w:tc>
          <w:tcPr>
            <w:tcW w:w="4240" w:type="dxa"/>
            <w:vAlign w:val="bottom"/>
            <w:vMerge w:val="continue"/>
          </w:tcPr>
          <w:p>
            <w:pPr>
              <w:spacing w:after="0"/>
              <w:rPr>
                <w:sz w:val="24"/>
                <w:szCs w:val="24"/>
                <w:color w:val="auto"/>
              </w:rPr>
            </w:pPr>
          </w:p>
        </w:tc>
        <w:tc>
          <w:tcPr>
            <w:tcW w:w="25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
        </w:trPr>
        <w:tc>
          <w:tcPr>
            <w:tcW w:w="4240" w:type="dxa"/>
            <w:vAlign w:val="bottom"/>
          </w:tcPr>
          <w:p>
            <w:pPr>
              <w:spacing w:after="0"/>
              <w:rPr>
                <w:sz w:val="2"/>
                <w:szCs w:val="2"/>
                <w:color w:val="auto"/>
              </w:rPr>
            </w:pPr>
          </w:p>
        </w:tc>
        <w:tc>
          <w:tcPr>
            <w:tcW w:w="25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4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42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20"/>
                <w:szCs w:val="20"/>
                <w:color w:val="auto"/>
              </w:rPr>
              <w:t>Registered investment companies</w:t>
            </w:r>
          </w:p>
        </w:tc>
        <w:tc>
          <w:tcPr>
            <w:tcW w:w="3000" w:type="dxa"/>
            <w:vAlign w:val="bottom"/>
            <w:tcBorders>
              <w:bottom w:val="single" w:sz="8" w:color="CCEEFF"/>
            </w:tcBorders>
            <w:gridSpan w:val="2"/>
            <w:shd w:val="clear" w:color="auto" w:fill="CCEEFF"/>
          </w:tcPr>
          <w:p>
            <w:pPr>
              <w:jc w:val="right"/>
              <w:ind w:right="380"/>
              <w:spacing w:after="0"/>
              <w:rPr>
                <w:sz w:val="20"/>
                <w:szCs w:val="20"/>
                <w:color w:val="auto"/>
              </w:rPr>
            </w:pPr>
            <w:r>
              <w:rPr>
                <w:rFonts w:ascii="Arial" w:cs="Arial" w:eastAsia="Arial" w:hAnsi="Arial"/>
                <w:sz w:val="20"/>
                <w:szCs w:val="20"/>
                <w:color w:val="auto"/>
              </w:rPr>
              <w:t>$</w:t>
            </w:r>
          </w:p>
        </w:tc>
        <w:tc>
          <w:tcPr>
            <w:tcW w:w="16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363,021,513</w:t>
            </w:r>
          </w:p>
        </w:tc>
        <w:tc>
          <w:tcPr>
            <w:tcW w:w="22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jc w:val="right"/>
              <w:ind w:right="461"/>
              <w:spacing w:after="0"/>
              <w:rPr>
                <w:sz w:val="20"/>
                <w:szCs w:val="20"/>
                <w:color w:val="auto"/>
              </w:rPr>
            </w:pPr>
            <w:r>
              <w:rPr>
                <w:rFonts w:ascii="Arial" w:cs="Arial" w:eastAsia="Arial" w:hAnsi="Arial"/>
                <w:sz w:val="20"/>
                <w:szCs w:val="20"/>
                <w:color w:val="auto"/>
                <w:w w:val="89"/>
              </w:rPr>
              <w:t>$</w:t>
            </w:r>
          </w:p>
        </w:tc>
        <w:tc>
          <w:tcPr>
            <w:tcW w:w="14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321,688,099</w:t>
            </w:r>
          </w:p>
        </w:tc>
        <w:tc>
          <w:tcPr>
            <w:tcW w:w="0" w:type="dxa"/>
            <w:vAlign w:val="bottom"/>
          </w:tcPr>
          <w:p>
            <w:pPr>
              <w:spacing w:after="0"/>
              <w:rPr>
                <w:sz w:val="1"/>
                <w:szCs w:val="1"/>
                <w:color w:val="auto"/>
              </w:rPr>
            </w:pPr>
          </w:p>
        </w:tc>
      </w:tr>
      <w:tr>
        <w:trPr>
          <w:trHeight w:val="261"/>
        </w:trPr>
        <w:tc>
          <w:tcPr>
            <w:tcW w:w="4240" w:type="dxa"/>
            <w:vAlign w:val="bottom"/>
          </w:tcPr>
          <w:p>
            <w:pPr>
              <w:ind w:left="180"/>
              <w:spacing w:after="0"/>
              <w:rPr>
                <w:sz w:val="20"/>
                <w:szCs w:val="20"/>
                <w:color w:val="auto"/>
              </w:rPr>
            </w:pPr>
            <w:r>
              <w:rPr>
                <w:rFonts w:ascii="Arial" w:cs="Arial" w:eastAsia="Arial" w:hAnsi="Arial"/>
                <w:sz w:val="20"/>
                <w:szCs w:val="20"/>
                <w:color w:val="auto"/>
              </w:rPr>
              <w:t>Common and collective trusts</w:t>
            </w:r>
          </w:p>
        </w:tc>
        <w:tc>
          <w:tcPr>
            <w:tcW w:w="25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640" w:type="dxa"/>
            <w:vAlign w:val="bottom"/>
          </w:tcPr>
          <w:p>
            <w:pPr>
              <w:jc w:val="right"/>
              <w:ind w:right="21"/>
              <w:spacing w:after="0"/>
              <w:rPr>
                <w:sz w:val="20"/>
                <w:szCs w:val="20"/>
                <w:color w:val="auto"/>
              </w:rPr>
            </w:pPr>
            <w:r>
              <w:rPr>
                <w:rFonts w:ascii="Arial" w:cs="Arial" w:eastAsia="Arial" w:hAnsi="Arial"/>
                <w:sz w:val="20"/>
                <w:szCs w:val="20"/>
                <w:color w:val="auto"/>
              </w:rPr>
              <w:t>635,861,508</w:t>
            </w:r>
          </w:p>
        </w:tc>
        <w:tc>
          <w:tcPr>
            <w:tcW w:w="2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460" w:type="dxa"/>
            <w:vAlign w:val="bottom"/>
          </w:tcPr>
          <w:p>
            <w:pPr>
              <w:jc w:val="right"/>
              <w:ind w:right="1"/>
              <w:spacing w:after="0"/>
              <w:rPr>
                <w:sz w:val="20"/>
                <w:szCs w:val="20"/>
                <w:color w:val="auto"/>
              </w:rPr>
            </w:pPr>
            <w:r>
              <w:rPr>
                <w:rFonts w:ascii="Arial" w:cs="Arial" w:eastAsia="Arial" w:hAnsi="Arial"/>
                <w:sz w:val="20"/>
                <w:szCs w:val="20"/>
                <w:color w:val="auto"/>
              </w:rPr>
              <w:t>519,517,499</w:t>
            </w:r>
          </w:p>
        </w:tc>
        <w:tc>
          <w:tcPr>
            <w:tcW w:w="0" w:type="dxa"/>
            <w:vAlign w:val="bottom"/>
          </w:tcPr>
          <w:p>
            <w:pPr>
              <w:spacing w:after="0"/>
              <w:rPr>
                <w:sz w:val="1"/>
                <w:szCs w:val="1"/>
                <w:color w:val="auto"/>
              </w:rPr>
            </w:pPr>
          </w:p>
        </w:tc>
      </w:tr>
      <w:tr>
        <w:trPr>
          <w:trHeight w:val="23"/>
        </w:trPr>
        <w:tc>
          <w:tcPr>
            <w:tcW w:w="4240" w:type="dxa"/>
            <w:vAlign w:val="bottom"/>
          </w:tcPr>
          <w:p>
            <w:pPr>
              <w:spacing w:after="0"/>
              <w:rPr>
                <w:sz w:val="2"/>
                <w:szCs w:val="2"/>
                <w:color w:val="auto"/>
              </w:rPr>
            </w:pPr>
          </w:p>
        </w:tc>
        <w:tc>
          <w:tcPr>
            <w:tcW w:w="25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4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42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20"/>
                <w:szCs w:val="20"/>
                <w:color w:val="auto"/>
              </w:rPr>
              <w:t>Company Stock Fund</w:t>
            </w:r>
          </w:p>
        </w:tc>
        <w:tc>
          <w:tcPr>
            <w:tcW w:w="2500" w:type="dxa"/>
            <w:vAlign w:val="bottom"/>
            <w:tcBorders>
              <w:bottom w:val="single" w:sz="8" w:color="CCEEFF"/>
            </w:tcBorders>
            <w:shd w:val="clear" w:color="auto" w:fill="CCEEFF"/>
          </w:tcPr>
          <w:p>
            <w:pPr>
              <w:spacing w:after="0"/>
              <w:rPr>
                <w:sz w:val="22"/>
                <w:szCs w:val="22"/>
                <w:color w:val="auto"/>
              </w:rPr>
            </w:pPr>
          </w:p>
        </w:tc>
        <w:tc>
          <w:tcPr>
            <w:tcW w:w="500" w:type="dxa"/>
            <w:vAlign w:val="bottom"/>
            <w:tcBorders>
              <w:bottom w:val="single" w:sz="8" w:color="CCEEFF"/>
            </w:tcBorders>
            <w:shd w:val="clear" w:color="auto" w:fill="CCEEFF"/>
          </w:tcPr>
          <w:p>
            <w:pPr>
              <w:spacing w:after="0"/>
              <w:rPr>
                <w:sz w:val="22"/>
                <w:szCs w:val="22"/>
                <w:color w:val="auto"/>
              </w:rPr>
            </w:pPr>
          </w:p>
        </w:tc>
        <w:tc>
          <w:tcPr>
            <w:tcW w:w="186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20"/>
                <w:szCs w:val="20"/>
                <w:color w:val="auto"/>
              </w:rPr>
              <w:t>—</w:t>
            </w:r>
          </w:p>
        </w:tc>
        <w:tc>
          <w:tcPr>
            <w:tcW w:w="68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28,981,430</w:t>
            </w:r>
          </w:p>
        </w:tc>
        <w:tc>
          <w:tcPr>
            <w:tcW w:w="0" w:type="dxa"/>
            <w:vAlign w:val="bottom"/>
          </w:tcPr>
          <w:p>
            <w:pPr>
              <w:spacing w:after="0"/>
              <w:rPr>
                <w:sz w:val="1"/>
                <w:szCs w:val="1"/>
                <w:color w:val="auto"/>
              </w:rPr>
            </w:pPr>
          </w:p>
        </w:tc>
      </w:tr>
      <w:tr>
        <w:trPr>
          <w:trHeight w:val="261"/>
        </w:trPr>
        <w:tc>
          <w:tcPr>
            <w:tcW w:w="4240" w:type="dxa"/>
            <w:vAlign w:val="bottom"/>
          </w:tcPr>
          <w:p>
            <w:pPr>
              <w:ind w:left="180"/>
              <w:spacing w:after="0"/>
              <w:rPr>
                <w:sz w:val="20"/>
                <w:szCs w:val="20"/>
                <w:color w:val="auto"/>
              </w:rPr>
            </w:pPr>
            <w:r>
              <w:rPr>
                <w:rFonts w:ascii="Arial" w:cs="Arial" w:eastAsia="Arial" w:hAnsi="Arial"/>
                <w:sz w:val="20"/>
                <w:szCs w:val="20"/>
                <w:color w:val="auto"/>
              </w:rPr>
              <w:t>Flowserve Corporation common stock</w:t>
            </w:r>
          </w:p>
        </w:tc>
        <w:tc>
          <w:tcPr>
            <w:tcW w:w="25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640" w:type="dxa"/>
            <w:vAlign w:val="bottom"/>
          </w:tcPr>
          <w:p>
            <w:pPr>
              <w:jc w:val="right"/>
              <w:ind w:right="21"/>
              <w:spacing w:after="0"/>
              <w:rPr>
                <w:sz w:val="20"/>
                <w:szCs w:val="20"/>
                <w:color w:val="auto"/>
              </w:rPr>
            </w:pPr>
            <w:r>
              <w:rPr>
                <w:rFonts w:ascii="Arial" w:cs="Arial" w:eastAsia="Arial" w:hAnsi="Arial"/>
                <w:sz w:val="20"/>
                <w:szCs w:val="20"/>
                <w:color w:val="auto"/>
              </w:rPr>
              <w:t>33,675,837</w:t>
            </w:r>
          </w:p>
        </w:tc>
        <w:tc>
          <w:tcPr>
            <w:tcW w:w="2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460" w:type="dxa"/>
            <w:vAlign w:val="bottom"/>
          </w:tcPr>
          <w:p>
            <w:pPr>
              <w:jc w:val="right"/>
              <w:ind w:right="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3"/>
        </w:trPr>
        <w:tc>
          <w:tcPr>
            <w:tcW w:w="4240" w:type="dxa"/>
            <w:vAlign w:val="bottom"/>
            <w:tcBorders>
              <w:bottom w:val="single" w:sz="8" w:color="CCEEFF"/>
            </w:tcBorders>
          </w:tcPr>
          <w:p>
            <w:pPr>
              <w:spacing w:after="0"/>
              <w:rPr>
                <w:sz w:val="2"/>
                <w:szCs w:val="2"/>
                <w:color w:val="auto"/>
              </w:rPr>
            </w:pPr>
          </w:p>
        </w:tc>
        <w:tc>
          <w:tcPr>
            <w:tcW w:w="25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20"/>
                <w:szCs w:val="20"/>
                <w:color w:val="auto"/>
              </w:rPr>
              <w:t>Total investments at fair value</w:t>
            </w:r>
          </w:p>
        </w:tc>
        <w:tc>
          <w:tcPr>
            <w:tcW w:w="2500" w:type="dxa"/>
            <w:vAlign w:val="bottom"/>
            <w:tcBorders>
              <w:bottom w:val="single" w:sz="8" w:color="CCEEFF"/>
            </w:tcBorders>
            <w:shd w:val="clear" w:color="auto" w:fill="CCEEFF"/>
          </w:tcPr>
          <w:p>
            <w:pPr>
              <w:spacing w:after="0"/>
              <w:rPr>
                <w:sz w:val="22"/>
                <w:szCs w:val="22"/>
                <w:color w:val="auto"/>
              </w:rPr>
            </w:pPr>
          </w:p>
        </w:tc>
        <w:tc>
          <w:tcPr>
            <w:tcW w:w="500" w:type="dxa"/>
            <w:vAlign w:val="bottom"/>
            <w:tcBorders>
              <w:bottom w:val="single" w:sz="8" w:color="CCEEFF"/>
            </w:tcBorders>
            <w:shd w:val="clear" w:color="auto" w:fill="CCEEFF"/>
          </w:tcPr>
          <w:p>
            <w:pPr>
              <w:spacing w:after="0"/>
              <w:rPr>
                <w:sz w:val="22"/>
                <w:szCs w:val="22"/>
                <w:color w:val="auto"/>
              </w:rPr>
            </w:pPr>
          </w:p>
        </w:tc>
        <w:tc>
          <w:tcPr>
            <w:tcW w:w="16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1,032,558,858</w:t>
            </w:r>
          </w:p>
        </w:tc>
        <w:tc>
          <w:tcPr>
            <w:tcW w:w="22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870,187,028</w:t>
            </w:r>
          </w:p>
        </w:tc>
        <w:tc>
          <w:tcPr>
            <w:tcW w:w="0" w:type="dxa"/>
            <w:vAlign w:val="bottom"/>
          </w:tcPr>
          <w:p>
            <w:pPr>
              <w:spacing w:after="0"/>
              <w:rPr>
                <w:sz w:val="1"/>
                <w:szCs w:val="1"/>
                <w:color w:val="auto"/>
              </w:rPr>
            </w:pPr>
          </w:p>
        </w:tc>
      </w:tr>
      <w:tr>
        <w:trPr>
          <w:trHeight w:val="598"/>
        </w:trPr>
        <w:tc>
          <w:tcPr>
            <w:tcW w:w="4240" w:type="dxa"/>
            <w:vAlign w:val="bottom"/>
          </w:tcPr>
          <w:p>
            <w:pPr>
              <w:ind w:left="40"/>
              <w:spacing w:after="0"/>
              <w:rPr>
                <w:sz w:val="20"/>
                <w:szCs w:val="20"/>
                <w:color w:val="auto"/>
              </w:rPr>
            </w:pPr>
            <w:r>
              <w:rPr>
                <w:rFonts w:ascii="Arial" w:cs="Arial" w:eastAsia="Arial" w:hAnsi="Arial"/>
                <w:sz w:val="20"/>
                <w:szCs w:val="20"/>
                <w:color w:val="auto"/>
              </w:rPr>
              <w:t>Receivables:</w:t>
            </w:r>
          </w:p>
        </w:tc>
        <w:tc>
          <w:tcPr>
            <w:tcW w:w="25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
        </w:trPr>
        <w:tc>
          <w:tcPr>
            <w:tcW w:w="4240" w:type="dxa"/>
            <w:vAlign w:val="bottom"/>
          </w:tcPr>
          <w:p>
            <w:pPr>
              <w:spacing w:after="0"/>
              <w:rPr>
                <w:sz w:val="2"/>
                <w:szCs w:val="2"/>
                <w:color w:val="auto"/>
              </w:rPr>
            </w:pPr>
          </w:p>
        </w:tc>
        <w:tc>
          <w:tcPr>
            <w:tcW w:w="25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4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42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20"/>
                <w:szCs w:val="20"/>
                <w:color w:val="auto"/>
              </w:rPr>
              <w:t>Notes receivable from participants</w:t>
            </w:r>
          </w:p>
        </w:tc>
        <w:tc>
          <w:tcPr>
            <w:tcW w:w="2500" w:type="dxa"/>
            <w:vAlign w:val="bottom"/>
            <w:tcBorders>
              <w:bottom w:val="single" w:sz="8" w:color="CCEEFF"/>
            </w:tcBorders>
            <w:shd w:val="clear" w:color="auto" w:fill="CCEEFF"/>
          </w:tcPr>
          <w:p>
            <w:pPr>
              <w:spacing w:after="0"/>
              <w:rPr>
                <w:sz w:val="22"/>
                <w:szCs w:val="22"/>
                <w:color w:val="auto"/>
              </w:rPr>
            </w:pPr>
          </w:p>
        </w:tc>
        <w:tc>
          <w:tcPr>
            <w:tcW w:w="500" w:type="dxa"/>
            <w:vAlign w:val="bottom"/>
            <w:tcBorders>
              <w:bottom w:val="single" w:sz="8" w:color="CCEEFF"/>
            </w:tcBorders>
            <w:shd w:val="clear" w:color="auto" w:fill="CCEEFF"/>
          </w:tcPr>
          <w:p>
            <w:pPr>
              <w:spacing w:after="0"/>
              <w:rPr>
                <w:sz w:val="22"/>
                <w:szCs w:val="22"/>
                <w:color w:val="auto"/>
              </w:rPr>
            </w:pPr>
          </w:p>
        </w:tc>
        <w:tc>
          <w:tcPr>
            <w:tcW w:w="16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20,147,467</w:t>
            </w:r>
          </w:p>
        </w:tc>
        <w:tc>
          <w:tcPr>
            <w:tcW w:w="22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20,624,712</w:t>
            </w:r>
          </w:p>
        </w:tc>
        <w:tc>
          <w:tcPr>
            <w:tcW w:w="0" w:type="dxa"/>
            <w:vAlign w:val="bottom"/>
          </w:tcPr>
          <w:p>
            <w:pPr>
              <w:spacing w:after="0"/>
              <w:rPr>
                <w:sz w:val="1"/>
                <w:szCs w:val="1"/>
                <w:color w:val="auto"/>
              </w:rPr>
            </w:pPr>
          </w:p>
        </w:tc>
      </w:tr>
      <w:tr>
        <w:trPr>
          <w:trHeight w:val="260"/>
        </w:trPr>
        <w:tc>
          <w:tcPr>
            <w:tcW w:w="4240" w:type="dxa"/>
            <w:vAlign w:val="bottom"/>
          </w:tcPr>
          <w:p>
            <w:pPr>
              <w:ind w:left="180"/>
              <w:spacing w:after="0"/>
              <w:rPr>
                <w:sz w:val="20"/>
                <w:szCs w:val="20"/>
                <w:color w:val="auto"/>
              </w:rPr>
            </w:pPr>
            <w:r>
              <w:rPr>
                <w:rFonts w:ascii="Arial" w:cs="Arial" w:eastAsia="Arial" w:hAnsi="Arial"/>
                <w:sz w:val="20"/>
                <w:szCs w:val="20"/>
                <w:color w:val="auto"/>
              </w:rPr>
              <w:t>Employer contributions</w:t>
            </w:r>
          </w:p>
        </w:tc>
        <w:tc>
          <w:tcPr>
            <w:tcW w:w="25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860" w:type="dxa"/>
            <w:vAlign w:val="bottom"/>
            <w:gridSpan w:val="2"/>
          </w:tcPr>
          <w:p>
            <w:pPr>
              <w:jc w:val="right"/>
              <w:ind w:right="340"/>
              <w:spacing w:after="0"/>
              <w:rPr>
                <w:sz w:val="20"/>
                <w:szCs w:val="20"/>
                <w:color w:val="auto"/>
              </w:rPr>
            </w:pPr>
            <w:r>
              <w:rPr>
                <w:rFonts w:ascii="Arial" w:cs="Arial" w:eastAsia="Arial" w:hAnsi="Arial"/>
                <w:sz w:val="20"/>
                <w:szCs w:val="20"/>
                <w:color w:val="auto"/>
              </w:rPr>
              <w:t>—</w:t>
            </w:r>
          </w:p>
        </w:tc>
        <w:tc>
          <w:tcPr>
            <w:tcW w:w="680" w:type="dxa"/>
            <w:vAlign w:val="bottom"/>
          </w:tcPr>
          <w:p>
            <w:pPr>
              <w:spacing w:after="0"/>
              <w:rPr>
                <w:sz w:val="22"/>
                <w:szCs w:val="22"/>
                <w:color w:val="auto"/>
              </w:rPr>
            </w:pPr>
          </w:p>
        </w:tc>
        <w:tc>
          <w:tcPr>
            <w:tcW w:w="1460" w:type="dxa"/>
            <w:vAlign w:val="bottom"/>
          </w:tcPr>
          <w:p>
            <w:pPr>
              <w:jc w:val="right"/>
              <w:ind w:right="1"/>
              <w:spacing w:after="0"/>
              <w:rPr>
                <w:sz w:val="20"/>
                <w:szCs w:val="20"/>
                <w:color w:val="auto"/>
              </w:rPr>
            </w:pPr>
            <w:r>
              <w:rPr>
                <w:rFonts w:ascii="Arial" w:cs="Arial" w:eastAsia="Arial" w:hAnsi="Arial"/>
                <w:sz w:val="20"/>
                <w:szCs w:val="20"/>
                <w:color w:val="auto"/>
              </w:rPr>
              <w:t>618,486</w:t>
            </w:r>
          </w:p>
        </w:tc>
        <w:tc>
          <w:tcPr>
            <w:tcW w:w="0" w:type="dxa"/>
            <w:vAlign w:val="bottom"/>
          </w:tcPr>
          <w:p>
            <w:pPr>
              <w:spacing w:after="0"/>
              <w:rPr>
                <w:sz w:val="1"/>
                <w:szCs w:val="1"/>
                <w:color w:val="auto"/>
              </w:rPr>
            </w:pPr>
          </w:p>
        </w:tc>
      </w:tr>
      <w:tr>
        <w:trPr>
          <w:trHeight w:val="23"/>
        </w:trPr>
        <w:tc>
          <w:tcPr>
            <w:tcW w:w="4240" w:type="dxa"/>
            <w:vAlign w:val="bottom"/>
          </w:tcPr>
          <w:p>
            <w:pPr>
              <w:spacing w:after="0"/>
              <w:rPr>
                <w:sz w:val="2"/>
                <w:szCs w:val="2"/>
                <w:color w:val="auto"/>
              </w:rPr>
            </w:pPr>
          </w:p>
        </w:tc>
        <w:tc>
          <w:tcPr>
            <w:tcW w:w="25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4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3"/>
        </w:trPr>
        <w:tc>
          <w:tcPr>
            <w:tcW w:w="42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20"/>
                <w:szCs w:val="20"/>
                <w:color w:val="auto"/>
              </w:rPr>
              <w:t>Participant contributions</w:t>
            </w:r>
          </w:p>
        </w:tc>
        <w:tc>
          <w:tcPr>
            <w:tcW w:w="2500" w:type="dxa"/>
            <w:vAlign w:val="bottom"/>
            <w:tcBorders>
              <w:bottom w:val="single" w:sz="8" w:color="CCEEFF"/>
            </w:tcBorders>
            <w:shd w:val="clear" w:color="auto" w:fill="CCEEFF"/>
          </w:tcPr>
          <w:p>
            <w:pPr>
              <w:spacing w:after="0"/>
              <w:rPr>
                <w:sz w:val="24"/>
                <w:szCs w:val="24"/>
                <w:color w:val="auto"/>
              </w:rPr>
            </w:pPr>
          </w:p>
        </w:tc>
        <w:tc>
          <w:tcPr>
            <w:tcW w:w="500" w:type="dxa"/>
            <w:vAlign w:val="bottom"/>
            <w:tcBorders>
              <w:bottom w:val="single" w:sz="8" w:color="CCEEFF"/>
            </w:tcBorders>
            <w:shd w:val="clear" w:color="auto" w:fill="CCEEFF"/>
          </w:tcPr>
          <w:p>
            <w:pPr>
              <w:spacing w:after="0"/>
              <w:rPr>
                <w:sz w:val="24"/>
                <w:szCs w:val="24"/>
                <w:color w:val="auto"/>
              </w:rPr>
            </w:pPr>
          </w:p>
        </w:tc>
        <w:tc>
          <w:tcPr>
            <w:tcW w:w="186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20"/>
                <w:szCs w:val="20"/>
                <w:color w:val="auto"/>
              </w:rPr>
              <w:t>—</w:t>
            </w:r>
          </w:p>
        </w:tc>
        <w:tc>
          <w:tcPr>
            <w:tcW w:w="680" w:type="dxa"/>
            <w:vAlign w:val="bottom"/>
            <w:tcBorders>
              <w:bottom w:val="single" w:sz="8" w:color="CCEEFF"/>
            </w:tcBorders>
            <w:shd w:val="clear" w:color="auto" w:fill="CCEEFF"/>
          </w:tcPr>
          <w:p>
            <w:pPr>
              <w:spacing w:after="0"/>
              <w:rPr>
                <w:sz w:val="24"/>
                <w:szCs w:val="24"/>
                <w:color w:val="auto"/>
              </w:rPr>
            </w:pPr>
          </w:p>
        </w:tc>
        <w:tc>
          <w:tcPr>
            <w:tcW w:w="14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1,347,925</w:t>
            </w:r>
          </w:p>
        </w:tc>
        <w:tc>
          <w:tcPr>
            <w:tcW w:w="0" w:type="dxa"/>
            <w:vAlign w:val="bottom"/>
          </w:tcPr>
          <w:p>
            <w:pPr>
              <w:spacing w:after="0"/>
              <w:rPr>
                <w:sz w:val="1"/>
                <w:szCs w:val="1"/>
                <w:color w:val="auto"/>
              </w:rPr>
            </w:pPr>
          </w:p>
        </w:tc>
      </w:tr>
      <w:tr>
        <w:trPr>
          <w:trHeight w:val="254"/>
        </w:trPr>
        <w:tc>
          <w:tcPr>
            <w:tcW w:w="4240" w:type="dxa"/>
            <w:vAlign w:val="bottom"/>
          </w:tcPr>
          <w:p>
            <w:pPr>
              <w:ind w:left="280"/>
              <w:spacing w:after="0"/>
              <w:rPr>
                <w:sz w:val="20"/>
                <w:szCs w:val="20"/>
                <w:color w:val="auto"/>
              </w:rPr>
            </w:pPr>
            <w:r>
              <w:rPr>
                <w:rFonts w:ascii="Arial" w:cs="Arial" w:eastAsia="Arial" w:hAnsi="Arial"/>
                <w:sz w:val="20"/>
                <w:szCs w:val="20"/>
                <w:color w:val="auto"/>
              </w:rPr>
              <w:t>Total receivables</w:t>
            </w:r>
          </w:p>
        </w:tc>
        <w:tc>
          <w:tcPr>
            <w:tcW w:w="2500" w:type="dxa"/>
            <w:vAlign w:val="bottom"/>
          </w:tcPr>
          <w:p>
            <w:pPr>
              <w:spacing w:after="0"/>
              <w:rPr>
                <w:sz w:val="22"/>
                <w:szCs w:val="22"/>
                <w:color w:val="auto"/>
              </w:rPr>
            </w:pPr>
          </w:p>
        </w:tc>
        <w:tc>
          <w:tcPr>
            <w:tcW w:w="500" w:type="dxa"/>
            <w:vAlign w:val="bottom"/>
            <w:tcBorders>
              <w:top w:val="single" w:sz="8" w:color="auto"/>
            </w:tcBorders>
          </w:tcPr>
          <w:p>
            <w:pPr>
              <w:spacing w:after="0"/>
              <w:rPr>
                <w:sz w:val="22"/>
                <w:szCs w:val="22"/>
                <w:color w:val="auto"/>
              </w:rPr>
            </w:pPr>
          </w:p>
        </w:tc>
        <w:tc>
          <w:tcPr>
            <w:tcW w:w="1640" w:type="dxa"/>
            <w:vAlign w:val="bottom"/>
            <w:tcBorders>
              <w:top w:val="single" w:sz="8" w:color="auto"/>
            </w:tcBorders>
          </w:tcPr>
          <w:p>
            <w:pPr>
              <w:jc w:val="right"/>
              <w:ind w:right="21"/>
              <w:spacing w:after="0"/>
              <w:rPr>
                <w:sz w:val="20"/>
                <w:szCs w:val="20"/>
                <w:color w:val="auto"/>
              </w:rPr>
            </w:pPr>
            <w:r>
              <w:rPr>
                <w:rFonts w:ascii="Arial" w:cs="Arial" w:eastAsia="Arial" w:hAnsi="Arial"/>
                <w:sz w:val="20"/>
                <w:szCs w:val="20"/>
                <w:color w:val="auto"/>
              </w:rPr>
              <w:t>20,147,467</w:t>
            </w:r>
          </w:p>
        </w:tc>
        <w:tc>
          <w:tcPr>
            <w:tcW w:w="22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460" w:type="dxa"/>
            <w:vAlign w:val="bottom"/>
            <w:tcBorders>
              <w:top w:val="single" w:sz="8" w:color="auto"/>
            </w:tcBorders>
          </w:tcPr>
          <w:p>
            <w:pPr>
              <w:jc w:val="right"/>
              <w:ind w:right="1"/>
              <w:spacing w:after="0"/>
              <w:rPr>
                <w:sz w:val="20"/>
                <w:szCs w:val="20"/>
                <w:color w:val="auto"/>
              </w:rPr>
            </w:pPr>
            <w:r>
              <w:rPr>
                <w:rFonts w:ascii="Arial" w:cs="Arial" w:eastAsia="Arial" w:hAnsi="Arial"/>
                <w:sz w:val="20"/>
                <w:szCs w:val="20"/>
                <w:color w:val="auto"/>
              </w:rPr>
              <w:t>22,591,123</w:t>
            </w:r>
          </w:p>
        </w:tc>
        <w:tc>
          <w:tcPr>
            <w:tcW w:w="0" w:type="dxa"/>
            <w:vAlign w:val="bottom"/>
          </w:tcPr>
          <w:p>
            <w:pPr>
              <w:spacing w:after="0"/>
              <w:rPr>
                <w:sz w:val="1"/>
                <w:szCs w:val="1"/>
                <w:color w:val="auto"/>
              </w:rPr>
            </w:pPr>
          </w:p>
        </w:tc>
      </w:tr>
      <w:tr>
        <w:trPr>
          <w:trHeight w:val="23"/>
        </w:trPr>
        <w:tc>
          <w:tcPr>
            <w:tcW w:w="4240" w:type="dxa"/>
            <w:vAlign w:val="bottom"/>
            <w:tcBorders>
              <w:bottom w:val="single" w:sz="8" w:color="CCEEFF"/>
            </w:tcBorders>
          </w:tcPr>
          <w:p>
            <w:pPr>
              <w:spacing w:after="0"/>
              <w:rPr>
                <w:sz w:val="2"/>
                <w:szCs w:val="2"/>
                <w:color w:val="auto"/>
              </w:rPr>
            </w:pPr>
          </w:p>
        </w:tc>
        <w:tc>
          <w:tcPr>
            <w:tcW w:w="25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1"/>
        </w:trPr>
        <w:tc>
          <w:tcPr>
            <w:tcW w:w="4240" w:type="dxa"/>
            <w:vAlign w:val="bottom"/>
            <w:shd w:val="clear" w:color="auto" w:fill="CCEEFF"/>
          </w:tcPr>
          <w:p>
            <w:pPr>
              <w:spacing w:after="0"/>
              <w:rPr>
                <w:sz w:val="24"/>
                <w:szCs w:val="24"/>
                <w:color w:val="auto"/>
              </w:rPr>
            </w:pPr>
          </w:p>
        </w:tc>
        <w:tc>
          <w:tcPr>
            <w:tcW w:w="250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164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4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4240" w:type="dxa"/>
            <w:vAlign w:val="bottom"/>
          </w:tcPr>
          <w:p>
            <w:pPr>
              <w:ind w:left="180"/>
              <w:spacing w:after="0"/>
              <w:rPr>
                <w:sz w:val="20"/>
                <w:szCs w:val="20"/>
                <w:color w:val="auto"/>
              </w:rPr>
            </w:pPr>
            <w:r>
              <w:rPr>
                <w:rFonts w:ascii="Arial" w:cs="Arial" w:eastAsia="Arial" w:hAnsi="Arial"/>
                <w:sz w:val="20"/>
                <w:szCs w:val="20"/>
                <w:color w:val="auto"/>
              </w:rPr>
              <w:t>Net assets available for benefits</w:t>
            </w:r>
          </w:p>
        </w:tc>
        <w:tc>
          <w:tcPr>
            <w:tcW w:w="3000" w:type="dxa"/>
            <w:vAlign w:val="bottom"/>
            <w:gridSpan w:val="2"/>
          </w:tcPr>
          <w:p>
            <w:pPr>
              <w:jc w:val="right"/>
              <w:ind w:right="380"/>
              <w:spacing w:after="0"/>
              <w:rPr>
                <w:sz w:val="20"/>
                <w:szCs w:val="20"/>
                <w:color w:val="auto"/>
              </w:rPr>
            </w:pPr>
            <w:r>
              <w:rPr>
                <w:rFonts w:ascii="Arial" w:cs="Arial" w:eastAsia="Arial" w:hAnsi="Arial"/>
                <w:sz w:val="20"/>
                <w:szCs w:val="20"/>
                <w:color w:val="auto"/>
              </w:rPr>
              <w:t>$</w:t>
            </w:r>
          </w:p>
        </w:tc>
        <w:tc>
          <w:tcPr>
            <w:tcW w:w="1640" w:type="dxa"/>
            <w:vAlign w:val="bottom"/>
          </w:tcPr>
          <w:p>
            <w:pPr>
              <w:jc w:val="right"/>
              <w:ind w:right="21"/>
              <w:spacing w:after="0"/>
              <w:rPr>
                <w:sz w:val="20"/>
                <w:szCs w:val="20"/>
                <w:color w:val="auto"/>
              </w:rPr>
            </w:pPr>
            <w:r>
              <w:rPr>
                <w:rFonts w:ascii="Arial" w:cs="Arial" w:eastAsia="Arial" w:hAnsi="Arial"/>
                <w:sz w:val="20"/>
                <w:szCs w:val="20"/>
                <w:color w:val="auto"/>
              </w:rPr>
              <w:t>1,052,706,325</w:t>
            </w:r>
          </w:p>
        </w:tc>
        <w:tc>
          <w:tcPr>
            <w:tcW w:w="220" w:type="dxa"/>
            <w:vAlign w:val="bottom"/>
          </w:tcPr>
          <w:p>
            <w:pPr>
              <w:spacing w:after="0"/>
              <w:rPr>
                <w:sz w:val="24"/>
                <w:szCs w:val="24"/>
                <w:color w:val="auto"/>
              </w:rPr>
            </w:pPr>
          </w:p>
        </w:tc>
        <w:tc>
          <w:tcPr>
            <w:tcW w:w="680" w:type="dxa"/>
            <w:vAlign w:val="bottom"/>
          </w:tcPr>
          <w:p>
            <w:pPr>
              <w:jc w:val="right"/>
              <w:ind w:right="461"/>
              <w:spacing w:after="0"/>
              <w:rPr>
                <w:sz w:val="20"/>
                <w:szCs w:val="20"/>
                <w:color w:val="auto"/>
              </w:rPr>
            </w:pPr>
            <w:r>
              <w:rPr>
                <w:rFonts w:ascii="Arial" w:cs="Arial" w:eastAsia="Arial" w:hAnsi="Arial"/>
                <w:sz w:val="20"/>
                <w:szCs w:val="20"/>
                <w:color w:val="auto"/>
                <w:w w:val="89"/>
              </w:rPr>
              <w:t>$</w:t>
            </w:r>
          </w:p>
        </w:tc>
        <w:tc>
          <w:tcPr>
            <w:tcW w:w="1460" w:type="dxa"/>
            <w:vAlign w:val="bottom"/>
          </w:tcPr>
          <w:p>
            <w:pPr>
              <w:jc w:val="right"/>
              <w:ind w:right="1"/>
              <w:spacing w:after="0"/>
              <w:rPr>
                <w:sz w:val="20"/>
                <w:szCs w:val="20"/>
                <w:color w:val="auto"/>
              </w:rPr>
            </w:pPr>
            <w:r>
              <w:rPr>
                <w:rFonts w:ascii="Arial" w:cs="Arial" w:eastAsia="Arial" w:hAnsi="Arial"/>
                <w:sz w:val="20"/>
                <w:szCs w:val="20"/>
                <w:color w:val="auto"/>
              </w:rPr>
              <w:t>892,778,151</w:t>
            </w: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The accompanying notes are an integral part of these financial statements.</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320" w:top="711" w:right="339" w:bottom="1440" w:gutter="0" w:footer="0" w:header="0"/>
        </w:sectPr>
      </w:pPr>
    </w:p>
    <w:bookmarkStart w:id="9" w:name="page10"/>
    <w:bookmarkEnd w:id="9"/>
    <w:p>
      <w:pPr>
        <w:spacing w:after="0"/>
        <w:rPr>
          <w:sz w:val="20"/>
          <w:szCs w:val="20"/>
          <w:color w:val="auto"/>
        </w:rPr>
      </w:pPr>
      <w:r>
        <w:rPr>
          <w:rFonts w:ascii="Arial" w:cs="Arial" w:eastAsia="Arial" w:hAnsi="Arial"/>
          <w:sz w:val="25"/>
          <w:szCs w:val="25"/>
          <w:b w:val="1"/>
          <w:bCs w:val="1"/>
          <w:color w:val="auto"/>
        </w:rPr>
        <w:t>FLOWSERVE CORPORATION</w:t>
      </w:r>
    </w:p>
    <w:p>
      <w:pPr>
        <w:spacing w:after="0" w:line="38"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RETIREMENT SAVINGS PLAN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right="4480"/>
        <w:spacing w:after="0" w:line="267" w:lineRule="auto"/>
        <w:rPr>
          <w:sz w:val="20"/>
          <w:szCs w:val="20"/>
          <w:color w:val="auto"/>
        </w:rPr>
      </w:pPr>
      <w:r>
        <w:rPr>
          <w:rFonts w:ascii="Arial" w:cs="Arial" w:eastAsia="Arial" w:hAnsi="Arial"/>
          <w:sz w:val="20"/>
          <w:szCs w:val="20"/>
          <w:b w:val="1"/>
          <w:bCs w:val="1"/>
          <w:color w:val="auto"/>
        </w:rPr>
        <w:t>STATEMENT OF CHANGES IN NET ASSETS AVAILABLE FOR BENEFITS FOR THE YEAR ENDED DECEMBER 31,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538480</wp:posOffset>
            </wp:positionV>
            <wp:extent cx="7132320" cy="1797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97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40"/>
        <w:spacing w:after="0"/>
        <w:rPr>
          <w:sz w:val="20"/>
          <w:szCs w:val="20"/>
          <w:color w:val="auto"/>
        </w:rPr>
      </w:pPr>
      <w:r>
        <w:rPr>
          <w:rFonts w:ascii="Arial" w:cs="Arial" w:eastAsia="Arial" w:hAnsi="Arial"/>
          <w:sz w:val="20"/>
          <w:szCs w:val="20"/>
          <w:b w:val="1"/>
          <w:bCs w:val="1"/>
          <w:color w:val="auto"/>
        </w:rPr>
        <w:t>Additions to net assets</w:t>
      </w:r>
    </w:p>
    <w:p>
      <w:pPr>
        <w:spacing w:after="0" w:line="60"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9540" w:type="dxa"/>
            <w:vAlign w:val="bottom"/>
          </w:tcPr>
          <w:p>
            <w:pPr>
              <w:ind w:left="180"/>
              <w:spacing w:after="0"/>
              <w:rPr>
                <w:sz w:val="20"/>
                <w:szCs w:val="20"/>
                <w:color w:val="auto"/>
              </w:rPr>
            </w:pPr>
            <w:r>
              <w:rPr>
                <w:rFonts w:ascii="Arial" w:cs="Arial" w:eastAsia="Arial" w:hAnsi="Arial"/>
                <w:sz w:val="20"/>
                <w:szCs w:val="20"/>
                <w:color w:val="auto"/>
              </w:rPr>
              <w:t>Investment income:</w:t>
            </w:r>
          </w:p>
        </w:tc>
        <w:tc>
          <w:tcPr>
            <w:tcW w:w="280" w:type="dxa"/>
            <w:vAlign w:val="bottom"/>
          </w:tcPr>
          <w:p>
            <w:pPr>
              <w:spacing w:after="0"/>
              <w:rPr>
                <w:sz w:val="21"/>
                <w:szCs w:val="21"/>
                <w:color w:val="auto"/>
              </w:rPr>
            </w:pPr>
          </w:p>
        </w:tc>
        <w:tc>
          <w:tcPr>
            <w:tcW w:w="1420" w:type="dxa"/>
            <w:vAlign w:val="bottom"/>
          </w:tcPr>
          <w:p>
            <w:pPr>
              <w:spacing w:after="0"/>
              <w:rPr>
                <w:sz w:val="21"/>
                <w:szCs w:val="21"/>
                <w:color w:val="auto"/>
              </w:rPr>
            </w:pPr>
          </w:p>
        </w:tc>
      </w:tr>
      <w:tr>
        <w:trPr>
          <w:trHeight w:val="23"/>
        </w:trPr>
        <w:tc>
          <w:tcPr>
            <w:tcW w:w="95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63"/>
        </w:trPr>
        <w:tc>
          <w:tcPr>
            <w:tcW w:w="95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20"/>
                <w:szCs w:val="20"/>
                <w:color w:val="auto"/>
              </w:rPr>
              <w:t>Net appreciation in fair value of investments</w:t>
            </w:r>
          </w:p>
        </w:tc>
        <w:tc>
          <w:tcPr>
            <w:tcW w:w="28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173,174,132</w:t>
            </w:r>
          </w:p>
        </w:tc>
      </w:tr>
      <w:tr>
        <w:trPr>
          <w:trHeight w:val="261"/>
        </w:trPr>
        <w:tc>
          <w:tcPr>
            <w:tcW w:w="9540" w:type="dxa"/>
            <w:vAlign w:val="bottom"/>
          </w:tcPr>
          <w:p>
            <w:pPr>
              <w:ind w:left="280"/>
              <w:spacing w:after="0"/>
              <w:rPr>
                <w:sz w:val="20"/>
                <w:szCs w:val="20"/>
                <w:color w:val="auto"/>
              </w:rPr>
            </w:pPr>
            <w:r>
              <w:rPr>
                <w:rFonts w:ascii="Arial" w:cs="Arial" w:eastAsia="Arial" w:hAnsi="Arial"/>
                <w:sz w:val="20"/>
                <w:szCs w:val="20"/>
                <w:color w:val="auto"/>
              </w:rPr>
              <w:t>Dividend income</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16,694,176</w:t>
            </w:r>
          </w:p>
        </w:tc>
      </w:tr>
      <w:tr>
        <w:trPr>
          <w:trHeight w:val="23"/>
        </w:trPr>
        <w:tc>
          <w:tcPr>
            <w:tcW w:w="95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83"/>
        </w:trPr>
        <w:tc>
          <w:tcPr>
            <w:tcW w:w="95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20"/>
                <w:szCs w:val="20"/>
                <w:color w:val="auto"/>
              </w:rPr>
              <w:t>Interest income</w:t>
            </w:r>
          </w:p>
        </w:tc>
        <w:tc>
          <w:tcPr>
            <w:tcW w:w="280" w:type="dxa"/>
            <w:vAlign w:val="bottom"/>
            <w:tcBorders>
              <w:bottom w:val="single" w:sz="8" w:color="CCEEFF"/>
            </w:tcBorders>
            <w:shd w:val="clear" w:color="auto" w:fill="CCEEFF"/>
          </w:tcPr>
          <w:p>
            <w:pPr>
              <w:spacing w:after="0"/>
              <w:rPr>
                <w:sz w:val="24"/>
                <w:szCs w:val="24"/>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1,917,681</w:t>
            </w:r>
          </w:p>
        </w:tc>
      </w:tr>
      <w:tr>
        <w:trPr>
          <w:trHeight w:val="254"/>
        </w:trPr>
        <w:tc>
          <w:tcPr>
            <w:tcW w:w="9540" w:type="dxa"/>
            <w:vAlign w:val="bottom"/>
          </w:tcPr>
          <w:p>
            <w:pPr>
              <w:ind w:left="380"/>
              <w:spacing w:after="0"/>
              <w:rPr>
                <w:sz w:val="20"/>
                <w:szCs w:val="20"/>
                <w:color w:val="auto"/>
              </w:rPr>
            </w:pPr>
            <w:r>
              <w:rPr>
                <w:rFonts w:ascii="Arial" w:cs="Arial" w:eastAsia="Arial" w:hAnsi="Arial"/>
                <w:sz w:val="20"/>
                <w:szCs w:val="20"/>
                <w:color w:val="auto"/>
              </w:rPr>
              <w:t>Total investment income</w:t>
            </w:r>
          </w:p>
        </w:tc>
        <w:tc>
          <w:tcPr>
            <w:tcW w:w="280" w:type="dxa"/>
            <w:vAlign w:val="bottom"/>
            <w:tcBorders>
              <w:top w:val="single" w:sz="8" w:color="auto"/>
            </w:tcBorders>
          </w:tcPr>
          <w:p>
            <w:pPr>
              <w:spacing w:after="0"/>
              <w:rPr>
                <w:sz w:val="22"/>
                <w:szCs w:val="22"/>
                <w:color w:val="auto"/>
              </w:rPr>
            </w:pPr>
          </w:p>
        </w:tc>
        <w:tc>
          <w:tcPr>
            <w:tcW w:w="1420" w:type="dxa"/>
            <w:vAlign w:val="bottom"/>
            <w:tcBorders>
              <w:top w:val="single" w:sz="8" w:color="auto"/>
            </w:tcBorders>
          </w:tcPr>
          <w:p>
            <w:pPr>
              <w:jc w:val="right"/>
              <w:ind w:right="1"/>
              <w:spacing w:after="0"/>
              <w:rPr>
                <w:sz w:val="20"/>
                <w:szCs w:val="20"/>
                <w:color w:val="auto"/>
              </w:rPr>
            </w:pPr>
            <w:r>
              <w:rPr>
                <w:rFonts w:ascii="Arial" w:cs="Arial" w:eastAsia="Arial" w:hAnsi="Arial"/>
                <w:sz w:val="20"/>
                <w:szCs w:val="20"/>
                <w:color w:val="auto"/>
              </w:rPr>
              <w:t>191,785,989</w:t>
            </w:r>
          </w:p>
        </w:tc>
      </w:tr>
      <w:tr>
        <w:trPr>
          <w:trHeight w:val="23"/>
        </w:trPr>
        <w:tc>
          <w:tcPr>
            <w:tcW w:w="95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176"/>
        </w:trPr>
        <w:tc>
          <w:tcPr>
            <w:tcW w:w="954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420" w:type="dxa"/>
            <w:vAlign w:val="bottom"/>
            <w:shd w:val="clear" w:color="auto" w:fill="CCEEFF"/>
          </w:tcPr>
          <w:p>
            <w:pPr>
              <w:spacing w:after="0"/>
              <w:rPr>
                <w:sz w:val="15"/>
                <w:szCs w:val="15"/>
                <w:color w:val="auto"/>
              </w:rPr>
            </w:pPr>
          </w:p>
        </w:tc>
      </w:tr>
      <w:tr>
        <w:trPr>
          <w:trHeight w:val="261"/>
        </w:trPr>
        <w:tc>
          <w:tcPr>
            <w:tcW w:w="9540" w:type="dxa"/>
            <w:vAlign w:val="bottom"/>
          </w:tcPr>
          <w:p>
            <w:pPr>
              <w:ind w:left="180"/>
              <w:spacing w:after="0"/>
              <w:rPr>
                <w:sz w:val="20"/>
                <w:szCs w:val="20"/>
                <w:color w:val="auto"/>
              </w:rPr>
            </w:pPr>
            <w:r>
              <w:rPr>
                <w:rFonts w:ascii="Arial" w:cs="Arial" w:eastAsia="Arial" w:hAnsi="Arial"/>
                <w:sz w:val="20"/>
                <w:szCs w:val="20"/>
                <w:color w:val="auto"/>
              </w:rPr>
              <w:t>Contributions:</w:t>
            </w:r>
          </w:p>
        </w:tc>
        <w:tc>
          <w:tcPr>
            <w:tcW w:w="280" w:type="dxa"/>
            <w:vAlign w:val="bottom"/>
          </w:tcPr>
          <w:p>
            <w:pPr>
              <w:spacing w:after="0"/>
              <w:rPr>
                <w:sz w:val="22"/>
                <w:szCs w:val="22"/>
                <w:color w:val="auto"/>
              </w:rPr>
            </w:pPr>
          </w:p>
        </w:tc>
        <w:tc>
          <w:tcPr>
            <w:tcW w:w="1420" w:type="dxa"/>
            <w:vAlign w:val="bottom"/>
          </w:tcPr>
          <w:p>
            <w:pPr>
              <w:spacing w:after="0"/>
              <w:rPr>
                <w:sz w:val="22"/>
                <w:szCs w:val="22"/>
                <w:color w:val="auto"/>
              </w:rPr>
            </w:pPr>
          </w:p>
        </w:tc>
      </w:tr>
      <w:tr>
        <w:trPr>
          <w:trHeight w:val="23"/>
        </w:trPr>
        <w:tc>
          <w:tcPr>
            <w:tcW w:w="95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63"/>
        </w:trPr>
        <w:tc>
          <w:tcPr>
            <w:tcW w:w="95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20"/>
                <w:szCs w:val="20"/>
                <w:color w:val="auto"/>
              </w:rPr>
              <w:t>Employer</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18,090,307</w:t>
            </w:r>
          </w:p>
        </w:tc>
      </w:tr>
      <w:tr>
        <w:trPr>
          <w:trHeight w:val="261"/>
        </w:trPr>
        <w:tc>
          <w:tcPr>
            <w:tcW w:w="9540" w:type="dxa"/>
            <w:vAlign w:val="bottom"/>
          </w:tcPr>
          <w:p>
            <w:pPr>
              <w:ind w:left="280"/>
              <w:spacing w:after="0"/>
              <w:rPr>
                <w:sz w:val="20"/>
                <w:szCs w:val="20"/>
                <w:color w:val="auto"/>
              </w:rPr>
            </w:pPr>
            <w:r>
              <w:rPr>
                <w:rFonts w:ascii="Arial" w:cs="Arial" w:eastAsia="Arial" w:hAnsi="Arial"/>
                <w:sz w:val="20"/>
                <w:szCs w:val="20"/>
                <w:color w:val="auto"/>
              </w:rPr>
              <w:t>Participant</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48,186,228</w:t>
            </w:r>
          </w:p>
        </w:tc>
      </w:tr>
      <w:tr>
        <w:trPr>
          <w:trHeight w:val="23"/>
        </w:trPr>
        <w:tc>
          <w:tcPr>
            <w:tcW w:w="95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57"/>
        </w:trPr>
        <w:tc>
          <w:tcPr>
            <w:tcW w:w="95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20"/>
                <w:szCs w:val="20"/>
                <w:color w:val="auto"/>
              </w:rPr>
              <w:t>Total contributions</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66,276,535</w:t>
            </w:r>
          </w:p>
        </w:tc>
      </w:tr>
      <w:tr>
        <w:trPr>
          <w:trHeight w:val="175"/>
        </w:trPr>
        <w:tc>
          <w:tcPr>
            <w:tcW w:w="95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420" w:type="dxa"/>
            <w:vAlign w:val="bottom"/>
          </w:tcPr>
          <w:p>
            <w:pPr>
              <w:spacing w:after="0"/>
              <w:rPr>
                <w:sz w:val="15"/>
                <w:szCs w:val="15"/>
                <w:color w:val="auto"/>
              </w:rPr>
            </w:pPr>
          </w:p>
        </w:tc>
      </w:tr>
      <w:tr>
        <w:trPr>
          <w:trHeight w:val="264"/>
        </w:trPr>
        <w:tc>
          <w:tcPr>
            <w:tcW w:w="95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20"/>
                <w:szCs w:val="20"/>
                <w:color w:val="auto"/>
              </w:rPr>
              <w:t>Other:</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spacing w:after="0"/>
              <w:rPr>
                <w:sz w:val="22"/>
                <w:szCs w:val="22"/>
                <w:color w:val="auto"/>
              </w:rPr>
            </w:pPr>
          </w:p>
        </w:tc>
      </w:tr>
      <w:tr>
        <w:trPr>
          <w:trHeight w:val="260"/>
        </w:trPr>
        <w:tc>
          <w:tcPr>
            <w:tcW w:w="9540" w:type="dxa"/>
            <w:vAlign w:val="bottom"/>
          </w:tcPr>
          <w:p>
            <w:pPr>
              <w:ind w:left="280"/>
              <w:spacing w:after="0"/>
              <w:rPr>
                <w:sz w:val="20"/>
                <w:szCs w:val="20"/>
                <w:color w:val="auto"/>
              </w:rPr>
            </w:pPr>
            <w:r>
              <w:rPr>
                <w:rFonts w:ascii="Arial" w:cs="Arial" w:eastAsia="Arial" w:hAnsi="Arial"/>
                <w:sz w:val="20"/>
                <w:szCs w:val="20"/>
                <w:color w:val="auto"/>
              </w:rPr>
              <w:t>Interest income on notes receivable from participants</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1,124,943</w:t>
            </w:r>
          </w:p>
        </w:tc>
      </w:tr>
      <w:tr>
        <w:trPr>
          <w:trHeight w:val="23"/>
        </w:trPr>
        <w:tc>
          <w:tcPr>
            <w:tcW w:w="95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83"/>
        </w:trPr>
        <w:tc>
          <w:tcPr>
            <w:tcW w:w="95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20"/>
                <w:szCs w:val="20"/>
                <w:color w:val="auto"/>
              </w:rPr>
              <w:t>Other additions</w:t>
            </w:r>
          </w:p>
        </w:tc>
        <w:tc>
          <w:tcPr>
            <w:tcW w:w="280" w:type="dxa"/>
            <w:vAlign w:val="bottom"/>
            <w:tcBorders>
              <w:bottom w:val="single" w:sz="8" w:color="CCEEFF"/>
            </w:tcBorders>
            <w:shd w:val="clear" w:color="auto" w:fill="CCEEFF"/>
          </w:tcPr>
          <w:p>
            <w:pPr>
              <w:spacing w:after="0"/>
              <w:rPr>
                <w:sz w:val="24"/>
                <w:szCs w:val="24"/>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179,821</w:t>
            </w:r>
          </w:p>
        </w:tc>
      </w:tr>
      <w:tr>
        <w:trPr>
          <w:trHeight w:val="254"/>
        </w:trPr>
        <w:tc>
          <w:tcPr>
            <w:tcW w:w="9540" w:type="dxa"/>
            <w:vAlign w:val="bottom"/>
          </w:tcPr>
          <w:p>
            <w:pPr>
              <w:ind w:left="380"/>
              <w:spacing w:after="0"/>
              <w:rPr>
                <w:sz w:val="20"/>
                <w:szCs w:val="20"/>
                <w:color w:val="auto"/>
              </w:rPr>
            </w:pPr>
            <w:r>
              <w:rPr>
                <w:rFonts w:ascii="Arial" w:cs="Arial" w:eastAsia="Arial" w:hAnsi="Arial"/>
                <w:sz w:val="20"/>
                <w:szCs w:val="20"/>
                <w:color w:val="auto"/>
              </w:rPr>
              <w:t>Total other</w:t>
            </w:r>
          </w:p>
        </w:tc>
        <w:tc>
          <w:tcPr>
            <w:tcW w:w="280" w:type="dxa"/>
            <w:vAlign w:val="bottom"/>
            <w:tcBorders>
              <w:top w:val="single" w:sz="8" w:color="auto"/>
            </w:tcBorders>
          </w:tcPr>
          <w:p>
            <w:pPr>
              <w:spacing w:after="0"/>
              <w:rPr>
                <w:sz w:val="22"/>
                <w:szCs w:val="22"/>
                <w:color w:val="auto"/>
              </w:rPr>
            </w:pPr>
          </w:p>
        </w:tc>
        <w:tc>
          <w:tcPr>
            <w:tcW w:w="1420" w:type="dxa"/>
            <w:vAlign w:val="bottom"/>
            <w:tcBorders>
              <w:top w:val="single" w:sz="8" w:color="auto"/>
            </w:tcBorders>
          </w:tcPr>
          <w:p>
            <w:pPr>
              <w:jc w:val="right"/>
              <w:ind w:right="1"/>
              <w:spacing w:after="0"/>
              <w:rPr>
                <w:sz w:val="20"/>
                <w:szCs w:val="20"/>
                <w:color w:val="auto"/>
              </w:rPr>
            </w:pPr>
            <w:r>
              <w:rPr>
                <w:rFonts w:ascii="Arial" w:cs="Arial" w:eastAsia="Arial" w:hAnsi="Arial"/>
                <w:sz w:val="20"/>
                <w:szCs w:val="20"/>
                <w:color w:val="auto"/>
              </w:rPr>
              <w:t>1,304,764</w:t>
            </w:r>
          </w:p>
        </w:tc>
      </w:tr>
      <w:tr>
        <w:trPr>
          <w:trHeight w:val="23"/>
        </w:trPr>
        <w:tc>
          <w:tcPr>
            <w:tcW w:w="95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57"/>
        </w:trPr>
        <w:tc>
          <w:tcPr>
            <w:tcW w:w="95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20"/>
                <w:szCs w:val="20"/>
                <w:color w:val="auto"/>
              </w:rPr>
              <w:t>Total additions</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259,367,288</w:t>
            </w:r>
          </w:p>
        </w:tc>
      </w:tr>
      <w:tr>
        <w:trPr>
          <w:trHeight w:val="175"/>
        </w:trPr>
        <w:tc>
          <w:tcPr>
            <w:tcW w:w="95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420" w:type="dxa"/>
            <w:vAlign w:val="bottom"/>
          </w:tcPr>
          <w:p>
            <w:pPr>
              <w:spacing w:after="0"/>
              <w:rPr>
                <w:sz w:val="15"/>
                <w:szCs w:val="15"/>
                <w:color w:val="auto"/>
              </w:rPr>
            </w:pPr>
          </w:p>
        </w:tc>
      </w:tr>
      <w:tr>
        <w:trPr>
          <w:trHeight w:val="263"/>
        </w:trPr>
        <w:tc>
          <w:tcPr>
            <w:tcW w:w="9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0"/>
                <w:szCs w:val="20"/>
                <w:b w:val="1"/>
                <w:bCs w:val="1"/>
                <w:color w:val="auto"/>
              </w:rPr>
              <w:t>Deductions from net assets</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spacing w:after="0"/>
              <w:rPr>
                <w:sz w:val="22"/>
                <w:szCs w:val="22"/>
                <w:color w:val="auto"/>
              </w:rPr>
            </w:pPr>
          </w:p>
        </w:tc>
      </w:tr>
      <w:tr>
        <w:trPr>
          <w:trHeight w:val="260"/>
        </w:trPr>
        <w:tc>
          <w:tcPr>
            <w:tcW w:w="9540" w:type="dxa"/>
            <w:vAlign w:val="bottom"/>
          </w:tcPr>
          <w:p>
            <w:pPr>
              <w:ind w:left="280"/>
              <w:spacing w:after="0"/>
              <w:rPr>
                <w:sz w:val="20"/>
                <w:szCs w:val="20"/>
                <w:color w:val="auto"/>
              </w:rPr>
            </w:pPr>
            <w:r>
              <w:rPr>
                <w:rFonts w:ascii="Arial" w:cs="Arial" w:eastAsia="Arial" w:hAnsi="Arial"/>
                <w:sz w:val="20"/>
                <w:szCs w:val="20"/>
                <w:color w:val="auto"/>
              </w:rPr>
              <w:t>Benefits paid to participants</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99,302,367</w:t>
            </w:r>
          </w:p>
        </w:tc>
      </w:tr>
      <w:tr>
        <w:trPr>
          <w:trHeight w:val="23"/>
        </w:trPr>
        <w:tc>
          <w:tcPr>
            <w:tcW w:w="95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83"/>
        </w:trPr>
        <w:tc>
          <w:tcPr>
            <w:tcW w:w="95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20"/>
                <w:szCs w:val="20"/>
                <w:color w:val="auto"/>
              </w:rPr>
              <w:t>Other deductions</w:t>
            </w:r>
          </w:p>
        </w:tc>
        <w:tc>
          <w:tcPr>
            <w:tcW w:w="280" w:type="dxa"/>
            <w:vAlign w:val="bottom"/>
            <w:tcBorders>
              <w:bottom w:val="single" w:sz="8" w:color="CCEEFF"/>
            </w:tcBorders>
            <w:shd w:val="clear" w:color="auto" w:fill="CCEEFF"/>
          </w:tcPr>
          <w:p>
            <w:pPr>
              <w:spacing w:after="0"/>
              <w:rPr>
                <w:sz w:val="24"/>
                <w:szCs w:val="24"/>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136,747</w:t>
            </w:r>
          </w:p>
        </w:tc>
      </w:tr>
      <w:tr>
        <w:trPr>
          <w:trHeight w:val="254"/>
        </w:trPr>
        <w:tc>
          <w:tcPr>
            <w:tcW w:w="9540" w:type="dxa"/>
            <w:vAlign w:val="bottom"/>
          </w:tcPr>
          <w:p>
            <w:pPr>
              <w:ind w:left="380"/>
              <w:spacing w:after="0"/>
              <w:rPr>
                <w:sz w:val="20"/>
                <w:szCs w:val="20"/>
                <w:color w:val="auto"/>
              </w:rPr>
            </w:pPr>
            <w:r>
              <w:rPr>
                <w:rFonts w:ascii="Arial" w:cs="Arial" w:eastAsia="Arial" w:hAnsi="Arial"/>
                <w:sz w:val="20"/>
                <w:szCs w:val="20"/>
                <w:color w:val="auto"/>
              </w:rPr>
              <w:t>Total deductions</w:t>
            </w:r>
          </w:p>
        </w:tc>
        <w:tc>
          <w:tcPr>
            <w:tcW w:w="280" w:type="dxa"/>
            <w:vAlign w:val="bottom"/>
            <w:tcBorders>
              <w:top w:val="single" w:sz="8" w:color="auto"/>
            </w:tcBorders>
          </w:tcPr>
          <w:p>
            <w:pPr>
              <w:spacing w:after="0"/>
              <w:rPr>
                <w:sz w:val="22"/>
                <w:szCs w:val="22"/>
                <w:color w:val="auto"/>
              </w:rPr>
            </w:pPr>
          </w:p>
        </w:tc>
        <w:tc>
          <w:tcPr>
            <w:tcW w:w="1420" w:type="dxa"/>
            <w:vAlign w:val="bottom"/>
            <w:tcBorders>
              <w:top w:val="single" w:sz="8" w:color="auto"/>
            </w:tcBorders>
          </w:tcPr>
          <w:p>
            <w:pPr>
              <w:jc w:val="right"/>
              <w:ind w:right="1"/>
              <w:spacing w:after="0"/>
              <w:rPr>
                <w:sz w:val="20"/>
                <w:szCs w:val="20"/>
                <w:color w:val="auto"/>
              </w:rPr>
            </w:pPr>
            <w:r>
              <w:rPr>
                <w:rFonts w:ascii="Arial" w:cs="Arial" w:eastAsia="Arial" w:hAnsi="Arial"/>
                <w:sz w:val="20"/>
                <w:szCs w:val="20"/>
                <w:color w:val="auto"/>
              </w:rPr>
              <w:t>99,439,114</w:t>
            </w:r>
          </w:p>
        </w:tc>
      </w:tr>
      <w:tr>
        <w:trPr>
          <w:trHeight w:val="23"/>
        </w:trPr>
        <w:tc>
          <w:tcPr>
            <w:tcW w:w="95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57"/>
        </w:trPr>
        <w:tc>
          <w:tcPr>
            <w:tcW w:w="9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0"/>
                <w:szCs w:val="20"/>
                <w:color w:val="auto"/>
              </w:rPr>
              <w:t>Increase in net assets available for benefits</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159,928,174</w:t>
            </w:r>
          </w:p>
        </w:tc>
      </w:tr>
      <w:tr>
        <w:trPr>
          <w:trHeight w:val="175"/>
        </w:trPr>
        <w:tc>
          <w:tcPr>
            <w:tcW w:w="95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420" w:type="dxa"/>
            <w:vAlign w:val="bottom"/>
          </w:tcPr>
          <w:p>
            <w:pPr>
              <w:spacing w:after="0"/>
              <w:rPr>
                <w:sz w:val="15"/>
                <w:szCs w:val="15"/>
                <w:color w:val="auto"/>
              </w:rPr>
            </w:pPr>
          </w:p>
        </w:tc>
      </w:tr>
      <w:tr>
        <w:trPr>
          <w:trHeight w:val="263"/>
        </w:trPr>
        <w:tc>
          <w:tcPr>
            <w:tcW w:w="9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0"/>
                <w:szCs w:val="20"/>
                <w:color w:val="auto"/>
              </w:rPr>
              <w:t>Net assets available for benefits:</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spacing w:after="0"/>
              <w:rPr>
                <w:sz w:val="22"/>
                <w:szCs w:val="22"/>
                <w:color w:val="auto"/>
              </w:rPr>
            </w:pPr>
          </w:p>
        </w:tc>
      </w:tr>
      <w:tr>
        <w:trPr>
          <w:trHeight w:val="260"/>
        </w:trPr>
        <w:tc>
          <w:tcPr>
            <w:tcW w:w="9540" w:type="dxa"/>
            <w:vAlign w:val="bottom"/>
          </w:tcPr>
          <w:p>
            <w:pPr>
              <w:ind w:left="280"/>
              <w:spacing w:after="0"/>
              <w:rPr>
                <w:sz w:val="20"/>
                <w:szCs w:val="20"/>
                <w:color w:val="auto"/>
              </w:rPr>
            </w:pPr>
            <w:r>
              <w:rPr>
                <w:rFonts w:ascii="Arial" w:cs="Arial" w:eastAsia="Arial" w:hAnsi="Arial"/>
                <w:sz w:val="20"/>
                <w:szCs w:val="20"/>
                <w:color w:val="auto"/>
              </w:rPr>
              <w:t>Beginning of year</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892,778,151</w:t>
            </w:r>
          </w:p>
        </w:tc>
      </w:tr>
      <w:tr>
        <w:trPr>
          <w:trHeight w:val="23"/>
        </w:trPr>
        <w:tc>
          <w:tcPr>
            <w:tcW w:w="95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72"/>
        </w:trPr>
        <w:tc>
          <w:tcPr>
            <w:tcW w:w="95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20"/>
                <w:szCs w:val="20"/>
                <w:color w:val="auto"/>
              </w:rPr>
              <w:t>End of year</w:t>
            </w:r>
          </w:p>
        </w:tc>
        <w:tc>
          <w:tcPr>
            <w:tcW w:w="280" w:type="dxa"/>
            <w:vAlign w:val="bottom"/>
            <w:tcBorders>
              <w:bottom w:val="single" w:sz="8" w:color="auto"/>
            </w:tcBorders>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42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20"/>
                <w:szCs w:val="20"/>
                <w:color w:val="auto"/>
              </w:rPr>
              <w:t>1,052,706,325</w:t>
            </w:r>
          </w:p>
        </w:tc>
      </w:tr>
      <w:tr>
        <w:trPr>
          <w:trHeight w:val="20"/>
        </w:trPr>
        <w:tc>
          <w:tcPr>
            <w:tcW w:w="95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The accompanying notes are an integral part of these financial statements.</w:t>
      </w:r>
    </w:p>
    <w:p>
      <w:pPr>
        <w:sectPr>
          <w:pgSz w:w="11900" w:h="16838" w:orient="portrait"/>
          <w:cols w:equalWidth="0" w:num="1">
            <w:col w:w="11240"/>
          </w:cols>
          <w:pgMar w:left="320" w:top="711" w:right="339" w:bottom="1440" w:gutter="0" w:footer="0" w:header="0"/>
        </w:sect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3</w:t>
      </w:r>
    </w:p>
    <w:p>
      <w:pPr>
        <w:sectPr>
          <w:pgSz w:w="11900" w:h="16838" w:orient="portrait"/>
          <w:cols w:equalWidth="0" w:num="1">
            <w:col w:w="11240"/>
          </w:cols>
          <w:pgMar w:left="320" w:top="711" w:right="339" w:bottom="1440" w:gutter="0" w:footer="0" w:header="0"/>
          <w:type w:val="continuous"/>
        </w:sectPr>
      </w:pPr>
    </w:p>
    <w:bookmarkStart w:id="10" w:name="page11"/>
    <w:bookmarkEnd w:id="10"/>
    <w:p>
      <w:pPr>
        <w:spacing w:after="0"/>
        <w:rPr>
          <w:sz w:val="20"/>
          <w:szCs w:val="20"/>
          <w:color w:val="auto"/>
        </w:rPr>
      </w:pPr>
      <w:r>
        <w:rPr>
          <w:rFonts w:ascii="Arial" w:cs="Arial" w:eastAsia="Arial" w:hAnsi="Arial"/>
          <w:sz w:val="25"/>
          <w:szCs w:val="25"/>
          <w:b w:val="1"/>
          <w:bCs w:val="1"/>
          <w:color w:val="auto"/>
        </w:rPr>
        <w:t>FLOWSERVE CORPORATION</w:t>
      </w:r>
    </w:p>
    <w:p>
      <w:pPr>
        <w:spacing w:after="0" w:line="38"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RETIREMENT SAVINGS PLAN</w:t>
      </w:r>
    </w:p>
    <w:p>
      <w:pPr>
        <w:spacing w:after="0" w:line="373" w:lineRule="exact"/>
        <w:rPr>
          <w:sz w:val="20"/>
          <w:szCs w:val="20"/>
          <w:color w:val="auto"/>
        </w:rPr>
      </w:pPr>
    </w:p>
    <w:p>
      <w:pPr>
        <w:ind w:left="40"/>
        <w:spacing w:after="0"/>
        <w:rPr>
          <w:sz w:val="20"/>
          <w:szCs w:val="20"/>
          <w:color w:val="auto"/>
        </w:rPr>
      </w:pPr>
      <w:r>
        <w:rPr>
          <w:rFonts w:ascii="Arial" w:cs="Arial" w:eastAsia="Arial" w:hAnsi="Arial"/>
          <w:sz w:val="20"/>
          <w:szCs w:val="20"/>
          <w:b w:val="1"/>
          <w:bCs w:val="1"/>
          <w:color w:val="auto"/>
        </w:rPr>
        <w:t>NOTES TO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31115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spacing w:after="0"/>
        <w:tabs>
          <w:tab w:leader="none" w:pos="320" w:val="left"/>
        </w:tabs>
        <w:rPr>
          <w:sz w:val="20"/>
          <w:szCs w:val="20"/>
          <w:color w:val="auto"/>
        </w:rPr>
      </w:pPr>
      <w:r>
        <w:rPr>
          <w:rFonts w:ascii="Arial" w:cs="Arial" w:eastAsia="Arial" w:hAnsi="Arial"/>
          <w:sz w:val="20"/>
          <w:szCs w:val="20"/>
          <w:b w:val="1"/>
          <w:bCs w:val="1"/>
          <w:color w:val="auto"/>
        </w:rPr>
        <w:t>1.</w:t>
      </w:r>
      <w:r>
        <w:rPr>
          <w:sz w:val="20"/>
          <w:szCs w:val="20"/>
          <w:color w:val="auto"/>
        </w:rPr>
        <w:tab/>
      </w:r>
      <w:r>
        <w:rPr>
          <w:rFonts w:ascii="Arial" w:cs="Arial" w:eastAsia="Arial" w:hAnsi="Arial"/>
          <w:sz w:val="19"/>
          <w:szCs w:val="19"/>
          <w:b w:val="1"/>
          <w:bCs w:val="1"/>
          <w:color w:val="auto"/>
        </w:rPr>
        <w:t>DESCRIPTION OF THE PLAN</w:t>
      </w:r>
    </w:p>
    <w:p>
      <w:pPr>
        <w:spacing w:after="0" w:line="222" w:lineRule="exact"/>
        <w:rPr>
          <w:sz w:val="20"/>
          <w:szCs w:val="20"/>
          <w:color w:val="auto"/>
        </w:rPr>
      </w:pPr>
    </w:p>
    <w:p>
      <w:pPr>
        <w:ind w:left="420"/>
        <w:spacing w:after="0"/>
        <w:rPr>
          <w:sz w:val="20"/>
          <w:szCs w:val="20"/>
          <w:color w:val="auto"/>
        </w:rPr>
      </w:pPr>
      <w:r>
        <w:rPr>
          <w:rFonts w:ascii="Arial" w:cs="Arial" w:eastAsia="Arial" w:hAnsi="Arial"/>
          <w:sz w:val="19"/>
          <w:szCs w:val="19"/>
          <w:color w:val="auto"/>
        </w:rPr>
        <w:t>The following description of the Flowserve Corporation Retirement Savings Plan (the “Plan”) provides only general information.</w:t>
      </w:r>
    </w:p>
    <w:p>
      <w:pPr>
        <w:spacing w:after="0" w:line="27" w:lineRule="exact"/>
        <w:rPr>
          <w:sz w:val="20"/>
          <w:szCs w:val="20"/>
          <w:color w:val="auto"/>
        </w:rPr>
      </w:pPr>
    </w:p>
    <w:p>
      <w:pPr>
        <w:spacing w:after="0"/>
        <w:rPr>
          <w:sz w:val="20"/>
          <w:szCs w:val="20"/>
          <w:color w:val="auto"/>
        </w:rPr>
      </w:pPr>
      <w:r>
        <w:rPr>
          <w:rFonts w:ascii="Arial" w:cs="Arial" w:eastAsia="Arial" w:hAnsi="Arial"/>
          <w:sz w:val="20"/>
          <w:szCs w:val="20"/>
          <w:color w:val="auto"/>
        </w:rPr>
        <w:t>Participants should refer to the Plan document for a more complete description of the Plan's provisions.</w:t>
      </w:r>
    </w:p>
    <w:p>
      <w:pPr>
        <w:spacing w:after="0" w:line="19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General and eligibility</w:t>
      </w:r>
    </w:p>
    <w:p>
      <w:pPr>
        <w:spacing w:after="0" w:line="222" w:lineRule="exact"/>
        <w:rPr>
          <w:sz w:val="20"/>
          <w:szCs w:val="20"/>
          <w:color w:val="auto"/>
        </w:rPr>
      </w:pPr>
    </w:p>
    <w:p>
      <w:pPr>
        <w:jc w:val="both"/>
        <w:ind w:firstLine="405"/>
        <w:spacing w:after="0" w:line="291" w:lineRule="auto"/>
        <w:rPr>
          <w:sz w:val="20"/>
          <w:szCs w:val="20"/>
          <w:color w:val="auto"/>
        </w:rPr>
      </w:pPr>
      <w:r>
        <w:rPr>
          <w:rFonts w:ascii="Arial" w:cs="Arial" w:eastAsia="Arial" w:hAnsi="Arial"/>
          <w:sz w:val="18"/>
          <w:szCs w:val="18"/>
          <w:color w:val="auto"/>
        </w:rPr>
        <w:t>The Plan is a defined contribution plan. Full-time and part-time employees of Flowserve Corporation and its wholly-owned subsidiaries (collectively, the “Company”) who are located in the United States ("U.S.") are eligible to participate in the Plan upon commencement of their employment. The Plan is subject to the provisions of the Employee Retirement Income Security Act of 1974, as amended (“ERISA”).</w:t>
      </w:r>
    </w:p>
    <w:p>
      <w:pPr>
        <w:spacing w:after="0" w:line="14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Participant accounts</w:t>
      </w:r>
    </w:p>
    <w:p>
      <w:pPr>
        <w:spacing w:after="0" w:line="222" w:lineRule="exact"/>
        <w:rPr>
          <w:sz w:val="20"/>
          <w:szCs w:val="20"/>
          <w:color w:val="auto"/>
        </w:rPr>
      </w:pPr>
    </w:p>
    <w:p>
      <w:pPr>
        <w:jc w:val="both"/>
        <w:ind w:firstLine="405"/>
        <w:spacing w:after="0" w:line="246" w:lineRule="auto"/>
        <w:rPr>
          <w:sz w:val="20"/>
          <w:szCs w:val="20"/>
          <w:color w:val="auto"/>
        </w:rPr>
      </w:pPr>
      <w:r>
        <w:rPr>
          <w:rFonts w:ascii="Arial" w:cs="Arial" w:eastAsia="Arial" w:hAnsi="Arial"/>
          <w:sz w:val="20"/>
          <w:szCs w:val="20"/>
          <w:color w:val="auto"/>
        </w:rPr>
        <w:t>Each participant account is credited with the participant's contributions, the employer's contributions and an allocation of investment income from each fund that the participant is invested in as defined in the Plan document. The benefit to which a participant is entitled is the benefit that can be provided from the participant's vested account. Additionally, the Plan has certain expenses that are deducted from participant accounts.</w:t>
      </w:r>
    </w:p>
    <w:p>
      <w:pPr>
        <w:spacing w:after="0" w:line="19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Contributions</w:t>
      </w:r>
    </w:p>
    <w:p>
      <w:pPr>
        <w:spacing w:after="0" w:line="222" w:lineRule="exact"/>
        <w:rPr>
          <w:sz w:val="20"/>
          <w:szCs w:val="20"/>
          <w:color w:val="auto"/>
        </w:rPr>
      </w:pPr>
    </w:p>
    <w:p>
      <w:pPr>
        <w:jc w:val="both"/>
        <w:ind w:firstLine="405"/>
        <w:spacing w:after="0" w:line="274" w:lineRule="auto"/>
        <w:rPr>
          <w:sz w:val="20"/>
          <w:szCs w:val="20"/>
          <w:color w:val="auto"/>
        </w:rPr>
      </w:pPr>
      <w:r>
        <w:rPr>
          <w:rFonts w:ascii="Arial" w:cs="Arial" w:eastAsia="Arial" w:hAnsi="Arial"/>
          <w:sz w:val="18"/>
          <w:szCs w:val="18"/>
          <w:color w:val="auto"/>
        </w:rPr>
        <w:t>Participants contribute a percentage of their compensation on a pre-tax and/or after-tax basis, as defined in the Plan document. Unless eligible participants elect otherwise, they automatically contribute 3% of eligible compensation to the Plan, which will automatically increase by 1% each year until contributions reach 10% of eligible compensation. Additionally, the maximum contribution rate for participants is generally 50% of eligible compensation, of which up to $19,000 (the maximum annual salary deferral contribution limit as set forth by the Internal Revenue Code (the “Code”) for 2019) may be made pre-tax. All participants who were eligible to make elective deferrals under the Plan and who had attained age 50 before the close of the year were eligible to make additional catch-up contributions of up to $6,000 during 2019. Participant contributions are invested based on each participant's election.</w:t>
      </w:r>
    </w:p>
    <w:p>
      <w:pPr>
        <w:spacing w:after="0" w:line="182"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Company matches 75% of participant contributions up to 6% of eligible compensation, except for union employees represented by</w:t>
      </w:r>
    </w:p>
    <w:p>
      <w:pPr>
        <w:spacing w:after="0" w:line="39" w:lineRule="exact"/>
        <w:rPr>
          <w:sz w:val="20"/>
          <w:szCs w:val="20"/>
          <w:color w:val="auto"/>
        </w:rPr>
      </w:pPr>
    </w:p>
    <w:p>
      <w:pPr>
        <w:spacing w:after="0"/>
        <w:rPr>
          <w:sz w:val="20"/>
          <w:szCs w:val="20"/>
          <w:color w:val="auto"/>
        </w:rPr>
      </w:pPr>
      <w:r>
        <w:rPr>
          <w:rFonts w:ascii="Arial" w:cs="Arial" w:eastAsia="Arial" w:hAnsi="Arial"/>
          <w:sz w:val="20"/>
          <w:szCs w:val="20"/>
          <w:color w:val="auto"/>
        </w:rPr>
        <w:t>the:</w:t>
      </w:r>
    </w:p>
    <w:p>
      <w:pPr>
        <w:spacing w:after="0" w:line="213" w:lineRule="exact"/>
        <w:rPr>
          <w:sz w:val="20"/>
          <w:szCs w:val="20"/>
          <w:color w:val="auto"/>
        </w:rPr>
      </w:pPr>
    </w:p>
    <w:p>
      <w:pPr>
        <w:ind w:left="720" w:hanging="226"/>
        <w:spacing w:after="0"/>
        <w:tabs>
          <w:tab w:leader="none" w:pos="720" w:val="left"/>
        </w:tabs>
        <w:numPr>
          <w:ilvl w:val="0"/>
          <w:numId w:val="6"/>
        </w:numPr>
        <w:rPr>
          <w:rFonts w:ascii="Arial" w:cs="Arial" w:eastAsia="Arial" w:hAnsi="Arial"/>
          <w:sz w:val="20"/>
          <w:szCs w:val="20"/>
          <w:color w:val="auto"/>
        </w:rPr>
      </w:pPr>
      <w:r>
        <w:rPr>
          <w:rFonts w:ascii="Arial" w:cs="Arial" w:eastAsia="Arial" w:hAnsi="Arial"/>
          <w:sz w:val="20"/>
          <w:szCs w:val="20"/>
          <w:color w:val="auto"/>
        </w:rPr>
        <w:t>United Steelworkers of America at the Vernon, California facility;</w:t>
      </w:r>
    </w:p>
    <w:p>
      <w:pPr>
        <w:spacing w:after="0" w:line="2" w:lineRule="exact"/>
        <w:rPr>
          <w:rFonts w:ascii="Arial" w:cs="Arial" w:eastAsia="Arial" w:hAnsi="Arial"/>
          <w:sz w:val="20"/>
          <w:szCs w:val="20"/>
          <w:color w:val="auto"/>
        </w:rPr>
      </w:pPr>
    </w:p>
    <w:p>
      <w:pPr>
        <w:ind w:left="720" w:hanging="226"/>
        <w:spacing w:after="0"/>
        <w:tabs>
          <w:tab w:leader="none" w:pos="720" w:val="left"/>
        </w:tabs>
        <w:numPr>
          <w:ilvl w:val="0"/>
          <w:numId w:val="6"/>
        </w:numPr>
        <w:rPr>
          <w:rFonts w:ascii="Arial" w:cs="Arial" w:eastAsia="Arial" w:hAnsi="Arial"/>
          <w:sz w:val="20"/>
          <w:szCs w:val="20"/>
          <w:color w:val="auto"/>
        </w:rPr>
      </w:pPr>
      <w:r>
        <w:rPr>
          <w:rFonts w:ascii="Arial" w:cs="Arial" w:eastAsia="Arial" w:hAnsi="Arial"/>
          <w:sz w:val="20"/>
          <w:szCs w:val="20"/>
          <w:color w:val="auto"/>
        </w:rPr>
        <w:t>United Steelworkers of America, AFL-CIO-CLC, District 30 Local Number 3320 at the Dayton, Ohio facility;</w:t>
      </w:r>
    </w:p>
    <w:p>
      <w:pPr>
        <w:spacing w:after="0" w:line="200" w:lineRule="exact"/>
        <w:rPr>
          <w:sz w:val="20"/>
          <w:szCs w:val="20"/>
          <w:color w:val="auto"/>
        </w:rPr>
      </w:pPr>
    </w:p>
    <w:p>
      <w:pPr>
        <w:ind w:firstLine="405"/>
        <w:spacing w:after="0" w:line="260" w:lineRule="auto"/>
        <w:rPr>
          <w:sz w:val="20"/>
          <w:szCs w:val="20"/>
          <w:color w:val="auto"/>
        </w:rPr>
      </w:pPr>
      <w:r>
        <w:rPr>
          <w:rFonts w:ascii="Arial" w:cs="Arial" w:eastAsia="Arial" w:hAnsi="Arial"/>
          <w:sz w:val="20"/>
          <w:szCs w:val="20"/>
          <w:color w:val="auto"/>
        </w:rPr>
        <w:t>Each of the above exception groups receives Company matching contributions of 50% of participant contributions up to 6% of eligible compensation.</w:t>
      </w:r>
    </w:p>
    <w:p>
      <w:pPr>
        <w:spacing w:after="0" w:line="190" w:lineRule="exact"/>
        <w:rPr>
          <w:sz w:val="20"/>
          <w:szCs w:val="20"/>
          <w:color w:val="auto"/>
        </w:rPr>
      </w:pPr>
    </w:p>
    <w:p>
      <w:pPr>
        <w:ind w:firstLine="405"/>
        <w:spacing w:after="0" w:line="260" w:lineRule="auto"/>
        <w:rPr>
          <w:sz w:val="20"/>
          <w:szCs w:val="20"/>
          <w:color w:val="auto"/>
        </w:rPr>
      </w:pPr>
      <w:r>
        <w:rPr>
          <w:rFonts w:ascii="Arial" w:cs="Arial" w:eastAsia="Arial" w:hAnsi="Arial"/>
          <w:sz w:val="20"/>
          <w:szCs w:val="20"/>
          <w:color w:val="auto"/>
        </w:rPr>
        <w:t>Company matching contributions are made in cash and allocated among a participant's account in the same percentage in which the participant directs his or her contributions.</w:t>
      </w:r>
    </w:p>
    <w:p>
      <w:pPr>
        <w:spacing w:after="0" w:line="190" w:lineRule="exact"/>
        <w:rPr>
          <w:sz w:val="20"/>
          <w:szCs w:val="20"/>
          <w:color w:val="auto"/>
        </w:rPr>
      </w:pPr>
    </w:p>
    <w:p>
      <w:pPr>
        <w:ind w:firstLine="405"/>
        <w:spacing w:after="0" w:line="260" w:lineRule="auto"/>
        <w:rPr>
          <w:sz w:val="20"/>
          <w:szCs w:val="20"/>
          <w:color w:val="auto"/>
        </w:rPr>
      </w:pPr>
      <w:r>
        <w:rPr>
          <w:rFonts w:ascii="Arial" w:cs="Arial" w:eastAsia="Arial" w:hAnsi="Arial"/>
          <w:sz w:val="20"/>
          <w:szCs w:val="20"/>
          <w:color w:val="auto"/>
        </w:rPr>
        <w:t>The Plan allows all participant and employer contributions and amounts allocated to participant accounts to be invested in accordance with participant investment directions.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40"/>
          </w:cols>
          <w:pgMar w:left="320" w:top="117" w:right="339" w:bottom="1440" w:gutter="0" w:footer="0" w:header="0"/>
        </w:sectPr>
      </w:pPr>
    </w:p>
    <w:bookmarkStart w:id="11" w:name="page12"/>
    <w:bookmarkEnd w:id="11"/>
    <w:p>
      <w:pPr>
        <w:spacing w:after="0"/>
        <w:rPr>
          <w:sz w:val="20"/>
          <w:szCs w:val="20"/>
          <w:color w:val="auto"/>
        </w:rPr>
      </w:pPr>
      <w:r>
        <w:rPr>
          <w:rFonts w:ascii="Arial" w:cs="Arial" w:eastAsia="Arial" w:hAnsi="Arial"/>
          <w:sz w:val="25"/>
          <w:szCs w:val="25"/>
          <w:b w:val="1"/>
          <w:bCs w:val="1"/>
          <w:color w:val="auto"/>
        </w:rPr>
        <w:t>FLOWSERVE CORPORATION</w:t>
      </w:r>
    </w:p>
    <w:p>
      <w:pPr>
        <w:spacing w:after="0" w:line="38"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RETIREMENT SAVINGS PLAN</w:t>
      </w:r>
    </w:p>
    <w:p>
      <w:pPr>
        <w:spacing w:after="0" w:line="373" w:lineRule="exact"/>
        <w:rPr>
          <w:sz w:val="20"/>
          <w:szCs w:val="20"/>
          <w:color w:val="auto"/>
        </w:rPr>
      </w:pPr>
    </w:p>
    <w:p>
      <w:pPr>
        <w:ind w:left="60"/>
        <w:spacing w:after="0"/>
        <w:rPr>
          <w:sz w:val="20"/>
          <w:szCs w:val="20"/>
          <w:color w:val="auto"/>
        </w:rPr>
      </w:pPr>
      <w:r>
        <w:rPr>
          <w:rFonts w:ascii="Arial" w:cs="Arial" w:eastAsia="Arial" w:hAnsi="Arial"/>
          <w:sz w:val="20"/>
          <w:szCs w:val="20"/>
          <w:b w:val="1"/>
          <w:bCs w:val="1"/>
          <w:color w:val="auto"/>
        </w:rPr>
        <w:t>NOTES TO FINANCIAL STATEMENTS (CONTINUED)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31115</wp:posOffset>
            </wp:positionV>
            <wp:extent cx="709803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09803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Vesting</w:t>
      </w:r>
    </w:p>
    <w:p>
      <w:pPr>
        <w:spacing w:after="0" w:line="222" w:lineRule="exact"/>
        <w:rPr>
          <w:sz w:val="20"/>
          <w:szCs w:val="20"/>
          <w:color w:val="auto"/>
        </w:rPr>
      </w:pPr>
    </w:p>
    <w:p>
      <w:pPr>
        <w:jc w:val="both"/>
        <w:ind w:right="20" w:firstLine="405"/>
        <w:spacing w:after="0" w:line="250" w:lineRule="auto"/>
        <w:rPr>
          <w:sz w:val="20"/>
          <w:szCs w:val="20"/>
          <w:color w:val="auto"/>
        </w:rPr>
      </w:pPr>
      <w:r>
        <w:rPr>
          <w:rFonts w:ascii="Arial" w:cs="Arial" w:eastAsia="Arial" w:hAnsi="Arial"/>
          <w:sz w:val="20"/>
          <w:szCs w:val="20"/>
          <w:color w:val="auto"/>
        </w:rPr>
        <w:t>Participants are immediately vested in their contributions and associated earnings thereon. Participants become 20% vested in the Company's contributions and associated earnings after one year of service. Vesting increases by 20% for each additional year of service until a participant becomes fully vested after five years of service.</w:t>
      </w:r>
    </w:p>
    <w:p>
      <w:pPr>
        <w:spacing w:after="0" w:line="19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Forfeitures</w:t>
      </w:r>
    </w:p>
    <w:p>
      <w:pPr>
        <w:spacing w:after="0" w:line="222" w:lineRule="exact"/>
        <w:rPr>
          <w:sz w:val="20"/>
          <w:szCs w:val="20"/>
          <w:color w:val="auto"/>
        </w:rPr>
      </w:pPr>
    </w:p>
    <w:p>
      <w:pPr>
        <w:jc w:val="both"/>
        <w:ind w:firstLine="405"/>
        <w:spacing w:after="0" w:line="269" w:lineRule="auto"/>
        <w:rPr>
          <w:sz w:val="20"/>
          <w:szCs w:val="20"/>
          <w:color w:val="auto"/>
        </w:rPr>
      </w:pPr>
      <w:r>
        <w:rPr>
          <w:rFonts w:ascii="Arial" w:cs="Arial" w:eastAsia="Arial" w:hAnsi="Arial"/>
          <w:sz w:val="19"/>
          <w:szCs w:val="19"/>
          <w:color w:val="auto"/>
        </w:rPr>
        <w:t>Forfeitures are used to reduce the Company's contributions. During 2019, participants forfeited $771,120 of non-vested account balances. In 2019, employer contributions were reduced by $768,472 from previously forfeited balances, in accordance with the Plan document. Unutilized forfeitures at December 31, 2019 and 2018 were $35,390 and $32,742, respectively.</w:t>
      </w:r>
    </w:p>
    <w:p>
      <w:pPr>
        <w:spacing w:after="0" w:line="17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Payment of benefits</w:t>
      </w:r>
    </w:p>
    <w:p>
      <w:pPr>
        <w:spacing w:after="0" w:line="222" w:lineRule="exact"/>
        <w:rPr>
          <w:sz w:val="20"/>
          <w:szCs w:val="20"/>
          <w:color w:val="auto"/>
        </w:rPr>
      </w:pPr>
    </w:p>
    <w:p>
      <w:pPr>
        <w:jc w:val="both"/>
        <w:ind w:firstLine="405"/>
        <w:spacing w:after="0" w:line="250" w:lineRule="auto"/>
        <w:rPr>
          <w:sz w:val="20"/>
          <w:szCs w:val="20"/>
          <w:color w:val="auto"/>
        </w:rPr>
      </w:pPr>
      <w:r>
        <w:rPr>
          <w:rFonts w:ascii="Arial" w:cs="Arial" w:eastAsia="Arial" w:hAnsi="Arial"/>
          <w:sz w:val="20"/>
          <w:szCs w:val="20"/>
          <w:color w:val="auto"/>
        </w:rPr>
        <w:t>Terminated participants may be paid their vested balance in a lump sum or rollover as soon as administratively possible after their date of termination. Active participants who qualify for an in-service withdrawal may be paid their benefits in a single sum cash payment or rollover as soon as administratively possible after the approval of their withdrawal application.</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Administration</w:t>
      </w:r>
    </w:p>
    <w:p>
      <w:pPr>
        <w:spacing w:after="0" w:line="222" w:lineRule="exact"/>
        <w:rPr>
          <w:sz w:val="20"/>
          <w:szCs w:val="20"/>
          <w:color w:val="auto"/>
        </w:rPr>
      </w:pPr>
    </w:p>
    <w:p>
      <w:pPr>
        <w:jc w:val="both"/>
        <w:ind w:firstLine="405"/>
        <w:spacing w:after="0" w:line="260" w:lineRule="auto"/>
        <w:rPr>
          <w:sz w:val="20"/>
          <w:szCs w:val="20"/>
          <w:color w:val="auto"/>
        </w:rPr>
      </w:pPr>
      <w:r>
        <w:rPr>
          <w:rFonts w:ascii="Arial" w:cs="Arial" w:eastAsia="Arial" w:hAnsi="Arial"/>
          <w:sz w:val="20"/>
          <w:szCs w:val="20"/>
          <w:color w:val="auto"/>
        </w:rPr>
        <w:t>The Plan is administered by the Pension and Investment Committee (the “Plan Administrator”), which is appointed by the Board of Directors of the Company.</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Participant loans</w:t>
      </w:r>
    </w:p>
    <w:p>
      <w:pPr>
        <w:spacing w:after="0" w:line="222" w:lineRule="exact"/>
        <w:rPr>
          <w:sz w:val="20"/>
          <w:szCs w:val="20"/>
          <w:color w:val="auto"/>
        </w:rPr>
      </w:pPr>
    </w:p>
    <w:p>
      <w:pPr>
        <w:jc w:val="both"/>
        <w:ind w:firstLine="405"/>
        <w:spacing w:after="0" w:line="260" w:lineRule="auto"/>
        <w:rPr>
          <w:sz w:val="20"/>
          <w:szCs w:val="20"/>
          <w:color w:val="auto"/>
        </w:rPr>
      </w:pPr>
      <w:r>
        <w:rPr>
          <w:rFonts w:ascii="Arial" w:cs="Arial" w:eastAsia="Arial" w:hAnsi="Arial"/>
          <w:sz w:val="20"/>
          <w:szCs w:val="20"/>
          <w:color w:val="auto"/>
        </w:rPr>
        <w:t>Subject to certain limitations set forth in the Plan document, participants may borrow from their vested account balances using their account balance as collateral. Participants may borrow an aggregate maximum of the lesser of:</w:t>
      </w:r>
    </w:p>
    <w:p>
      <w:pPr>
        <w:spacing w:after="0" w:line="285" w:lineRule="exact"/>
        <w:rPr>
          <w:sz w:val="20"/>
          <w:szCs w:val="20"/>
          <w:color w:val="auto"/>
        </w:rPr>
      </w:pPr>
    </w:p>
    <w:p>
      <w:pPr>
        <w:ind w:left="720" w:hanging="226"/>
        <w:spacing w:after="0"/>
        <w:tabs>
          <w:tab w:leader="none" w:pos="720" w:val="left"/>
        </w:tabs>
        <w:numPr>
          <w:ilvl w:val="0"/>
          <w:numId w:val="7"/>
        </w:numPr>
        <w:rPr>
          <w:rFonts w:ascii="Arial" w:cs="Arial" w:eastAsia="Arial" w:hAnsi="Arial"/>
          <w:sz w:val="20"/>
          <w:szCs w:val="20"/>
          <w:color w:val="auto"/>
        </w:rPr>
      </w:pPr>
      <w:r>
        <w:rPr>
          <w:rFonts w:ascii="Arial" w:cs="Arial" w:eastAsia="Arial" w:hAnsi="Arial"/>
          <w:sz w:val="20"/>
          <w:szCs w:val="20"/>
          <w:color w:val="auto"/>
        </w:rPr>
        <w:t>$50,000, subject to certain adjustments as set forth in the Plan document, or</w:t>
      </w:r>
    </w:p>
    <w:p>
      <w:pPr>
        <w:spacing w:after="0" w:line="94" w:lineRule="exact"/>
        <w:rPr>
          <w:rFonts w:ascii="Arial" w:cs="Arial" w:eastAsia="Arial" w:hAnsi="Arial"/>
          <w:sz w:val="20"/>
          <w:szCs w:val="20"/>
          <w:color w:val="auto"/>
        </w:rPr>
      </w:pPr>
    </w:p>
    <w:p>
      <w:pPr>
        <w:ind w:left="720" w:hanging="226"/>
        <w:spacing w:after="0"/>
        <w:tabs>
          <w:tab w:leader="none" w:pos="720" w:val="left"/>
        </w:tabs>
        <w:numPr>
          <w:ilvl w:val="0"/>
          <w:numId w:val="7"/>
        </w:numPr>
        <w:rPr>
          <w:rFonts w:ascii="Arial" w:cs="Arial" w:eastAsia="Arial" w:hAnsi="Arial"/>
          <w:sz w:val="20"/>
          <w:szCs w:val="20"/>
          <w:color w:val="auto"/>
        </w:rPr>
      </w:pPr>
      <w:r>
        <w:rPr>
          <w:rFonts w:ascii="Arial" w:cs="Arial" w:eastAsia="Arial" w:hAnsi="Arial"/>
          <w:sz w:val="20"/>
          <w:szCs w:val="20"/>
          <w:color w:val="auto"/>
        </w:rPr>
        <w:t>One-half of the participant's vested account balance at the time the loan is made.</w:t>
      </w:r>
    </w:p>
    <w:p>
      <w:pPr>
        <w:spacing w:after="0" w:line="202" w:lineRule="exact"/>
        <w:rPr>
          <w:sz w:val="20"/>
          <w:szCs w:val="20"/>
          <w:color w:val="auto"/>
        </w:rPr>
      </w:pPr>
    </w:p>
    <w:p>
      <w:pPr>
        <w:jc w:val="both"/>
        <w:ind w:firstLine="405"/>
        <w:spacing w:after="0" w:line="342" w:lineRule="auto"/>
        <w:rPr>
          <w:sz w:val="20"/>
          <w:szCs w:val="20"/>
          <w:color w:val="auto"/>
        </w:rPr>
      </w:pPr>
      <w:r>
        <w:rPr>
          <w:rFonts w:ascii="Arial" w:cs="Arial" w:eastAsia="Arial" w:hAnsi="Arial"/>
          <w:sz w:val="16"/>
          <w:szCs w:val="16"/>
          <w:color w:val="auto"/>
        </w:rPr>
        <w:t>General-purpose loans have a maximum term of five years, while primary residence loans have a maximum term of 15 years. Loan repayments are generally made via bi-weekly payroll deductions. Loans bear interest at rates that become fixed at loan inception, based on prevailing interest rates at loan inception. Loans outstanding at December 31, 2019 and 2018 had interest rates ranging from 4.25% to 9.25%.</w:t>
      </w:r>
    </w:p>
    <w:p>
      <w:pPr>
        <w:spacing w:after="0" w:line="12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Plan termination</w:t>
      </w:r>
    </w:p>
    <w:p>
      <w:pPr>
        <w:spacing w:after="0" w:line="222" w:lineRule="exact"/>
        <w:rPr>
          <w:sz w:val="20"/>
          <w:szCs w:val="20"/>
          <w:color w:val="auto"/>
        </w:rPr>
      </w:pPr>
    </w:p>
    <w:p>
      <w:pPr>
        <w:jc w:val="both"/>
        <w:ind w:firstLine="405"/>
        <w:spacing w:after="0" w:line="250" w:lineRule="auto"/>
        <w:rPr>
          <w:sz w:val="20"/>
          <w:szCs w:val="20"/>
          <w:color w:val="auto"/>
        </w:rPr>
      </w:pPr>
      <w:r>
        <w:rPr>
          <w:rFonts w:ascii="Arial" w:cs="Arial" w:eastAsia="Arial" w:hAnsi="Arial"/>
          <w:sz w:val="20"/>
          <w:szCs w:val="20"/>
          <w:color w:val="auto"/>
        </w:rPr>
        <w:t>Although it has not expressed any intent to do so, the Company may terminate the Plan at any time in accordance with ERISA requirements. In the event of termination of the Plan, distribution would be made to participants in the amounts of their respective account balances. In the event of Plan termination, all components of a participant's balance become 100% vested.</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40"/>
          </w:cols>
          <w:pgMar w:left="320" w:top="117" w:right="339" w:bottom="1440" w:gutter="0" w:footer="0" w:header="0"/>
        </w:sectPr>
      </w:pPr>
    </w:p>
    <w:bookmarkStart w:id="12" w:name="page13"/>
    <w:bookmarkEnd w:id="12"/>
    <w:p>
      <w:pPr>
        <w:spacing w:after="0"/>
        <w:rPr>
          <w:sz w:val="20"/>
          <w:szCs w:val="20"/>
          <w:color w:val="auto"/>
        </w:rPr>
      </w:pPr>
      <w:r>
        <w:rPr>
          <w:rFonts w:ascii="Arial" w:cs="Arial" w:eastAsia="Arial" w:hAnsi="Arial"/>
          <w:sz w:val="25"/>
          <w:szCs w:val="25"/>
          <w:b w:val="1"/>
          <w:bCs w:val="1"/>
          <w:color w:val="auto"/>
        </w:rPr>
        <w:t>FLOWSERVE CORPORATION</w:t>
      </w:r>
    </w:p>
    <w:p>
      <w:pPr>
        <w:spacing w:after="0" w:line="38"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RETIREMENT SAVINGS PLAN</w:t>
      </w:r>
    </w:p>
    <w:p>
      <w:pPr>
        <w:spacing w:after="0" w:line="373" w:lineRule="exact"/>
        <w:rPr>
          <w:sz w:val="20"/>
          <w:szCs w:val="20"/>
          <w:color w:val="auto"/>
        </w:rPr>
      </w:pPr>
    </w:p>
    <w:p>
      <w:pPr>
        <w:ind w:left="60"/>
        <w:spacing w:after="0"/>
        <w:rPr>
          <w:sz w:val="20"/>
          <w:szCs w:val="20"/>
          <w:color w:val="auto"/>
        </w:rPr>
      </w:pPr>
      <w:r>
        <w:rPr>
          <w:rFonts w:ascii="Arial" w:cs="Arial" w:eastAsia="Arial" w:hAnsi="Arial"/>
          <w:sz w:val="20"/>
          <w:szCs w:val="20"/>
          <w:b w:val="1"/>
          <w:bCs w:val="1"/>
          <w:color w:val="auto"/>
        </w:rPr>
        <w:t>NOTES TO FINANCIAL STATEMENTS (CONTINUED)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31115</wp:posOffset>
            </wp:positionV>
            <wp:extent cx="709803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09803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right="5740" w:firstLine="8"/>
        <w:spacing w:after="0" w:line="468" w:lineRule="auto"/>
        <w:tabs>
          <w:tab w:leader="none" w:pos="324" w:val="left"/>
        </w:tabs>
        <w:numPr>
          <w:ilvl w:val="0"/>
          <w:numId w:val="8"/>
        </w:numPr>
        <w:rPr>
          <w:rFonts w:ascii="Arial" w:cs="Arial" w:eastAsia="Arial" w:hAnsi="Arial"/>
          <w:sz w:val="20"/>
          <w:szCs w:val="20"/>
          <w:b w:val="1"/>
          <w:bCs w:val="1"/>
          <w:color w:val="auto"/>
        </w:rPr>
      </w:pPr>
      <w:r>
        <w:rPr>
          <w:rFonts w:ascii="Arial" w:cs="Arial" w:eastAsia="Arial" w:hAnsi="Arial"/>
          <w:sz w:val="20"/>
          <w:szCs w:val="20"/>
          <w:b w:val="1"/>
          <w:bCs w:val="1"/>
          <w:color w:val="auto"/>
        </w:rPr>
        <w:t>SUMMARY OF SIGNIFICANT ACCOUNTING POLICIES Basis of accounting</w:t>
      </w:r>
    </w:p>
    <w:p>
      <w:pPr>
        <w:jc w:val="both"/>
        <w:ind w:firstLine="405"/>
        <w:spacing w:after="0" w:line="260" w:lineRule="auto"/>
        <w:rPr>
          <w:sz w:val="20"/>
          <w:szCs w:val="20"/>
          <w:color w:val="auto"/>
        </w:rPr>
      </w:pPr>
      <w:r>
        <w:rPr>
          <w:rFonts w:ascii="Arial" w:cs="Arial" w:eastAsia="Arial" w:hAnsi="Arial"/>
          <w:sz w:val="20"/>
          <w:szCs w:val="20"/>
          <w:color w:val="auto"/>
        </w:rPr>
        <w:t>The accompanying financial statements have been prepared on the accrual basis of accounting in accordance with accounting principles generally accepted in the U.S. (“U.S. GAAP”).</w:t>
      </w:r>
    </w:p>
    <w:p>
      <w:pPr>
        <w:spacing w:after="0" w:line="171"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Investment valuation and income recognition</w:t>
      </w:r>
    </w:p>
    <w:p>
      <w:pPr>
        <w:spacing w:after="0" w:line="235"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9"/>
          <w:szCs w:val="19"/>
          <w:color w:val="auto"/>
        </w:rPr>
        <w:t>The Plan's investments in shares of registered investment companies are stated at fair value based on quoted market prices. The Plan's investments in common and collective trusts are valued based on the net asset value ("NAV"), or equivalent, as a practical expedient for fair value. The NAV is based on the value of the underlying assets owned by the fund, minus its liabilities, and then divided by the number of shares outstanding. The Company Stock Fund is valued at its year-end unit closing price, comprised of year-end market price plus uninvested cash position. The Flowserve Corporation common stock are stated at fair value as quoted on a recognized securities exchange and are valued at the last reported sales price on the last business day of the year.</w:t>
      </w:r>
    </w:p>
    <w:p>
      <w:pPr>
        <w:spacing w:after="0" w:line="192" w:lineRule="exact"/>
        <w:rPr>
          <w:sz w:val="20"/>
          <w:szCs w:val="20"/>
          <w:color w:val="auto"/>
        </w:rPr>
      </w:pPr>
    </w:p>
    <w:p>
      <w:pPr>
        <w:jc w:val="both"/>
        <w:ind w:firstLine="405"/>
        <w:spacing w:after="0" w:line="250" w:lineRule="auto"/>
        <w:rPr>
          <w:sz w:val="20"/>
          <w:szCs w:val="20"/>
          <w:color w:val="auto"/>
        </w:rPr>
      </w:pPr>
      <w:r>
        <w:rPr>
          <w:rFonts w:ascii="Arial" w:cs="Arial" w:eastAsia="Arial" w:hAnsi="Arial"/>
          <w:sz w:val="20"/>
          <w:szCs w:val="20"/>
          <w:color w:val="auto"/>
        </w:rPr>
        <w:t>The Plan accounts for its investments in accordance with Financial Accounting Standards Board (“FASB”) Accounting Standards Codification (“ASC”) 962, “Plan Accounting - Defined Contribution Pension Plans.” As required by ASC 962, the accompanying statements of net assets available for benefits present the fair value of the Plan's investments.</w:t>
      </w:r>
    </w:p>
    <w:p>
      <w:pPr>
        <w:spacing w:after="0" w:line="199" w:lineRule="exact"/>
        <w:rPr>
          <w:sz w:val="20"/>
          <w:szCs w:val="20"/>
          <w:color w:val="auto"/>
        </w:rPr>
      </w:pPr>
    </w:p>
    <w:p>
      <w:pPr>
        <w:jc w:val="both"/>
        <w:ind w:firstLine="405"/>
        <w:spacing w:after="0" w:line="260" w:lineRule="auto"/>
        <w:rPr>
          <w:sz w:val="20"/>
          <w:szCs w:val="20"/>
          <w:color w:val="auto"/>
        </w:rPr>
      </w:pPr>
      <w:r>
        <w:rPr>
          <w:rFonts w:ascii="Arial" w:cs="Arial" w:eastAsia="Arial" w:hAnsi="Arial"/>
          <w:sz w:val="20"/>
          <w:szCs w:val="20"/>
          <w:color w:val="auto"/>
        </w:rPr>
        <w:t>Purchases and sales of investments are recorded on a trade-date basis. Interest income is accrued when earned. Dividend income is recorded on the ex-dividend date.</w:t>
      </w:r>
    </w:p>
    <w:p>
      <w:pPr>
        <w:spacing w:after="0" w:line="190" w:lineRule="exact"/>
        <w:rPr>
          <w:sz w:val="20"/>
          <w:szCs w:val="20"/>
          <w:color w:val="auto"/>
        </w:rPr>
      </w:pPr>
    </w:p>
    <w:p>
      <w:pPr>
        <w:jc w:val="both"/>
        <w:ind w:firstLine="405"/>
        <w:spacing w:after="0" w:line="291" w:lineRule="auto"/>
        <w:rPr>
          <w:sz w:val="20"/>
          <w:szCs w:val="20"/>
          <w:color w:val="auto"/>
        </w:rPr>
      </w:pPr>
      <w:r>
        <w:rPr>
          <w:rFonts w:ascii="Arial" w:cs="Arial" w:eastAsia="Arial" w:hAnsi="Arial"/>
          <w:sz w:val="18"/>
          <w:szCs w:val="18"/>
          <w:color w:val="auto"/>
        </w:rPr>
        <w:t>The Plan's investments are exposed to various risks, such as interest rate, market and credit risks. Due to the level of risk associated with the Plan's investments, it is at least reasonably possible that changes in the values of such investments could occur in the near term and that such changes could materially affect participant account balances and the amounts reported in the accompanying financial statements.</w:t>
      </w:r>
    </w:p>
    <w:p>
      <w:pPr>
        <w:spacing w:after="0" w:line="146"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Determination of unrealized appreciation (depreciation)</w:t>
      </w:r>
    </w:p>
    <w:p>
      <w:pPr>
        <w:spacing w:after="0" w:line="235" w:lineRule="exact"/>
        <w:rPr>
          <w:sz w:val="20"/>
          <w:szCs w:val="20"/>
          <w:color w:val="auto"/>
        </w:rPr>
      </w:pPr>
    </w:p>
    <w:p>
      <w:pPr>
        <w:jc w:val="both"/>
        <w:ind w:firstLine="405"/>
        <w:spacing w:after="0" w:line="250" w:lineRule="auto"/>
        <w:rPr>
          <w:sz w:val="20"/>
          <w:szCs w:val="20"/>
          <w:color w:val="auto"/>
        </w:rPr>
      </w:pPr>
      <w:r>
        <w:rPr>
          <w:rFonts w:ascii="Arial" w:cs="Arial" w:eastAsia="Arial" w:hAnsi="Arial"/>
          <w:sz w:val="20"/>
          <w:szCs w:val="20"/>
          <w:color w:val="auto"/>
        </w:rPr>
        <w:t>The Plan presents in the statement of changes in net assets available for benefits the net appreciation (depreciation) in the fair value of its investments, which consists of realized gains or losses on investments sold during the year and the unrealized appreciation (depreciation) on those investments held at the end of the year.</w:t>
      </w:r>
    </w:p>
    <w:p>
      <w:pPr>
        <w:spacing w:after="0" w:line="193"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Contributions</w:t>
      </w:r>
    </w:p>
    <w:p>
      <w:pPr>
        <w:spacing w:after="0" w:line="222" w:lineRule="exact"/>
        <w:rPr>
          <w:sz w:val="20"/>
          <w:szCs w:val="20"/>
          <w:color w:val="auto"/>
        </w:rPr>
      </w:pPr>
    </w:p>
    <w:p>
      <w:pPr>
        <w:jc w:val="both"/>
        <w:ind w:right="20" w:firstLine="405"/>
        <w:spacing w:after="0" w:line="260" w:lineRule="auto"/>
        <w:rPr>
          <w:sz w:val="20"/>
          <w:szCs w:val="20"/>
          <w:color w:val="auto"/>
        </w:rPr>
      </w:pPr>
      <w:r>
        <w:rPr>
          <w:rFonts w:ascii="Arial" w:cs="Arial" w:eastAsia="Arial" w:hAnsi="Arial"/>
          <w:sz w:val="20"/>
          <w:szCs w:val="20"/>
          <w:color w:val="auto"/>
        </w:rPr>
        <w:t>Contributions from the Company and participants are accrued as they become obligations of the Company, as determined by the Plan’s administrator, and in the period in which they are deducted, in accordance with salary deferral agreements.</w:t>
      </w:r>
    </w:p>
    <w:p>
      <w:pPr>
        <w:spacing w:after="0" w:line="171"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Notes receivable from participants</w:t>
      </w:r>
    </w:p>
    <w:p>
      <w:pPr>
        <w:spacing w:after="0" w:line="222" w:lineRule="exact"/>
        <w:rPr>
          <w:sz w:val="20"/>
          <w:szCs w:val="20"/>
          <w:color w:val="auto"/>
        </w:rPr>
      </w:pPr>
    </w:p>
    <w:p>
      <w:pPr>
        <w:jc w:val="both"/>
        <w:ind w:firstLine="405"/>
        <w:spacing w:after="0" w:line="260" w:lineRule="auto"/>
        <w:rPr>
          <w:sz w:val="20"/>
          <w:szCs w:val="20"/>
          <w:color w:val="auto"/>
        </w:rPr>
      </w:pPr>
      <w:r>
        <w:rPr>
          <w:rFonts w:ascii="Arial" w:cs="Arial" w:eastAsia="Arial" w:hAnsi="Arial"/>
          <w:sz w:val="20"/>
          <w:szCs w:val="20"/>
          <w:color w:val="auto"/>
        </w:rPr>
        <w:t>Participant loans are valued at the unpaid principal balance plus any accrued but unpaid interest. Interest income is recorded when earned.</w:t>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40"/>
          </w:cols>
          <w:pgMar w:left="320" w:top="117" w:right="339" w:bottom="1440" w:gutter="0" w:footer="0" w:header="0"/>
        </w:sectPr>
      </w:pPr>
    </w:p>
    <w:bookmarkStart w:id="13" w:name="page14"/>
    <w:bookmarkEnd w:id="13"/>
    <w:p>
      <w:pPr>
        <w:spacing w:after="0"/>
        <w:rPr>
          <w:sz w:val="20"/>
          <w:szCs w:val="20"/>
          <w:color w:val="auto"/>
        </w:rPr>
      </w:pPr>
      <w:r>
        <w:rPr>
          <w:rFonts w:ascii="Arial" w:cs="Arial" w:eastAsia="Arial" w:hAnsi="Arial"/>
          <w:sz w:val="25"/>
          <w:szCs w:val="25"/>
          <w:b w:val="1"/>
          <w:bCs w:val="1"/>
          <w:color w:val="auto"/>
        </w:rPr>
        <w:t>FLOWSERVE CORPORATION</w:t>
      </w:r>
    </w:p>
    <w:p>
      <w:pPr>
        <w:spacing w:after="0" w:line="38"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RETIREMENT SAVINGS PLAN</w:t>
      </w:r>
    </w:p>
    <w:p>
      <w:pPr>
        <w:spacing w:after="0" w:line="373" w:lineRule="exact"/>
        <w:rPr>
          <w:sz w:val="20"/>
          <w:szCs w:val="20"/>
          <w:color w:val="auto"/>
        </w:rPr>
      </w:pPr>
    </w:p>
    <w:p>
      <w:pPr>
        <w:ind w:left="60"/>
        <w:spacing w:after="0"/>
        <w:rPr>
          <w:sz w:val="20"/>
          <w:szCs w:val="20"/>
          <w:color w:val="auto"/>
        </w:rPr>
      </w:pPr>
      <w:r>
        <w:rPr>
          <w:rFonts w:ascii="Arial" w:cs="Arial" w:eastAsia="Arial" w:hAnsi="Arial"/>
          <w:sz w:val="20"/>
          <w:szCs w:val="20"/>
          <w:b w:val="1"/>
          <w:bCs w:val="1"/>
          <w:color w:val="auto"/>
        </w:rPr>
        <w:t>NOTES TO FINANCIAL STATEMENTS (CONTINUED)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31115</wp:posOffset>
            </wp:positionV>
            <wp:extent cx="709803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09803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Use of estimates</w:t>
      </w:r>
    </w:p>
    <w:p>
      <w:pPr>
        <w:spacing w:after="0" w:line="222" w:lineRule="exact"/>
        <w:rPr>
          <w:sz w:val="20"/>
          <w:szCs w:val="20"/>
          <w:color w:val="auto"/>
        </w:rPr>
      </w:pPr>
    </w:p>
    <w:p>
      <w:pPr>
        <w:jc w:val="both"/>
        <w:ind w:firstLine="405"/>
        <w:spacing w:after="0" w:line="246" w:lineRule="auto"/>
        <w:rPr>
          <w:sz w:val="20"/>
          <w:szCs w:val="20"/>
          <w:color w:val="auto"/>
        </w:rPr>
      </w:pPr>
      <w:r>
        <w:rPr>
          <w:rFonts w:ascii="Arial" w:cs="Arial" w:eastAsia="Arial" w:hAnsi="Arial"/>
          <w:sz w:val="20"/>
          <w:szCs w:val="20"/>
          <w:color w:val="auto"/>
        </w:rPr>
        <w:t>The preparation of financial statements in conformity with U.S. GAAP requires management to make estimates and assumptions that affect certain reported amounts of net assets available for benefits and disclosure of contingent assets and liabilities at the date of the financial statements and reported amounts of changes in net assets available for benefits during the reporting period. Actual results may differ from these estimates.</w:t>
      </w:r>
    </w:p>
    <w:p>
      <w:pPr>
        <w:spacing w:after="0" w:line="185"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Benefits</w:t>
      </w:r>
    </w:p>
    <w:p>
      <w:pPr>
        <w:spacing w:after="0" w:line="222" w:lineRule="exact"/>
        <w:rPr>
          <w:sz w:val="20"/>
          <w:szCs w:val="20"/>
          <w:color w:val="auto"/>
        </w:rPr>
      </w:pPr>
    </w:p>
    <w:p>
      <w:pPr>
        <w:ind w:left="420"/>
        <w:spacing w:after="0"/>
        <w:rPr>
          <w:sz w:val="20"/>
          <w:szCs w:val="20"/>
          <w:color w:val="auto"/>
        </w:rPr>
      </w:pPr>
      <w:r>
        <w:rPr>
          <w:rFonts w:ascii="Arial" w:cs="Arial" w:eastAsia="Arial" w:hAnsi="Arial"/>
          <w:sz w:val="20"/>
          <w:szCs w:val="20"/>
          <w:color w:val="auto"/>
        </w:rPr>
        <w:t>Benefits are recorded when paid.</w:t>
      </w:r>
    </w:p>
    <w:p>
      <w:pPr>
        <w:spacing w:after="0" w:line="223"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Accounting developments</w:t>
      </w:r>
    </w:p>
    <w:p>
      <w:pPr>
        <w:spacing w:after="0" w:line="116"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Pronouncements Implemented</w:t>
      </w:r>
    </w:p>
    <w:p>
      <w:pPr>
        <w:spacing w:after="0" w:line="331" w:lineRule="exact"/>
        <w:rPr>
          <w:sz w:val="20"/>
          <w:szCs w:val="20"/>
          <w:color w:val="auto"/>
        </w:rPr>
      </w:pPr>
    </w:p>
    <w:p>
      <w:pPr>
        <w:ind w:left="340"/>
        <w:spacing w:after="0"/>
        <w:rPr>
          <w:sz w:val="20"/>
          <w:szCs w:val="20"/>
          <w:color w:val="auto"/>
        </w:rPr>
      </w:pPr>
      <w:r>
        <w:rPr>
          <w:rFonts w:ascii="Arial" w:cs="Arial" w:eastAsia="Arial" w:hAnsi="Arial"/>
          <w:sz w:val="20"/>
          <w:szCs w:val="20"/>
          <w:color w:val="auto"/>
        </w:rPr>
        <w:t>None</w:t>
      </w:r>
    </w:p>
    <w:p>
      <w:pPr>
        <w:spacing w:after="0" w:line="232"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Pronouncements Not Yet Implemented</w:t>
      </w:r>
    </w:p>
    <w:p>
      <w:pPr>
        <w:spacing w:after="0" w:line="236"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8"/>
          <w:szCs w:val="18"/>
          <w:color w:val="auto"/>
        </w:rPr>
        <w:t>In August 2018, the FASB issued Accounting Standards Update ("ASU") No. 2018-13, "Fair Value Measurement (Topic 820): Disclosure Framework, Changes to the Disclosure Requirements for Fair Value Measurement." The amendments of the ASU modify the disclosure requirements for fair value measurements by removing, modifying or adding certain disclosure information requirements for assets and liabilities measured at fair value in the statement of financial position or disclosed in the notes to financial statements. The ASU is effective for fiscal years, and interim periods within those fiscal years, beginning after December 15, 2019, with early adoption permitted for the removed disclosures and delayed adoption until fiscal year 2020 permitted for the new disclosures. The removed and modified disclosures should be adopted on a retrospective basis and the new disclosures should be adopted on a prospective basis. The provisions of ASU No. 2018-13 are not expected to have a material impact on the Plan’s reported net assets or changes in net assets.</w:t>
      </w:r>
    </w:p>
    <w:p>
      <w:pPr>
        <w:spacing w:after="0" w:line="176" w:lineRule="exact"/>
        <w:rPr>
          <w:sz w:val="20"/>
          <w:szCs w:val="20"/>
          <w:color w:val="auto"/>
        </w:rPr>
      </w:pPr>
    </w:p>
    <w:p>
      <w:pPr>
        <w:spacing w:after="0"/>
        <w:tabs>
          <w:tab w:leader="none" w:pos="320" w:val="left"/>
        </w:tabs>
        <w:rPr>
          <w:sz w:val="20"/>
          <w:szCs w:val="20"/>
          <w:color w:val="auto"/>
        </w:rPr>
      </w:pPr>
      <w:r>
        <w:rPr>
          <w:rFonts w:ascii="Arial" w:cs="Arial" w:eastAsia="Arial" w:hAnsi="Arial"/>
          <w:sz w:val="20"/>
          <w:szCs w:val="20"/>
          <w:b w:val="1"/>
          <w:bCs w:val="1"/>
          <w:color w:val="auto"/>
        </w:rPr>
        <w:t>3.</w:t>
        <w:tab/>
        <w:t>COMMON AND COLLECTIVE TRUST FUNDS</w:t>
      </w:r>
    </w:p>
    <w:p>
      <w:pPr>
        <w:spacing w:after="0" w:line="222" w:lineRule="exact"/>
        <w:rPr>
          <w:sz w:val="20"/>
          <w:szCs w:val="20"/>
          <w:color w:val="auto"/>
        </w:rPr>
      </w:pPr>
    </w:p>
    <w:p>
      <w:pPr>
        <w:jc w:val="both"/>
        <w:ind w:firstLine="324"/>
        <w:spacing w:after="0" w:line="246" w:lineRule="auto"/>
        <w:rPr>
          <w:sz w:val="20"/>
          <w:szCs w:val="20"/>
          <w:color w:val="auto"/>
        </w:rPr>
      </w:pPr>
      <w:r>
        <w:rPr>
          <w:rFonts w:ascii="Arial" w:cs="Arial" w:eastAsia="Arial" w:hAnsi="Arial"/>
          <w:sz w:val="20"/>
          <w:szCs w:val="20"/>
          <w:color w:val="auto"/>
        </w:rPr>
        <w:t>The Plan's investments in common and collective trusts include the T. Rowe Price Retirement Dated Trusts Series ("Dated Trusts"), Wellington CIF Small Cap Opp. Portfolio ("Wellington Trust") and T. Rowe Price Stable Value Common Trust Fund ("Value Trust"), which hold fully benefit-responsive investment contracts. The Plan uses NAV (or equivalent) as a practical expedient to determine the fair value of the common and collective trust funds.</w:t>
      </w:r>
    </w:p>
    <w:p>
      <w:pPr>
        <w:spacing w:after="0" w:line="205" w:lineRule="exact"/>
        <w:rPr>
          <w:sz w:val="20"/>
          <w:szCs w:val="20"/>
          <w:color w:val="auto"/>
        </w:rPr>
      </w:pPr>
    </w:p>
    <w:p>
      <w:pPr>
        <w:jc w:val="both"/>
        <w:ind w:firstLine="405"/>
        <w:spacing w:after="0" w:line="282" w:lineRule="auto"/>
        <w:rPr>
          <w:sz w:val="20"/>
          <w:szCs w:val="20"/>
          <w:color w:val="auto"/>
        </w:rPr>
      </w:pPr>
      <w:r>
        <w:rPr>
          <w:rFonts w:ascii="Arial" w:cs="Arial" w:eastAsia="Arial" w:hAnsi="Arial"/>
          <w:sz w:val="18"/>
          <w:szCs w:val="18"/>
          <w:color w:val="auto"/>
        </w:rPr>
        <w:t>The objective of the Dated Trusts is to provide the highest total return over time through both capital growth and income consistent with an emphasis on capital growth based on the participant's anticipated retirement age. The NAV for the Dated Trusts is based on the fair value of the underlying investments held by the fund less their liabilities. The beneficial interest of each participant is represented by units. Redemption for the Dated Trusts is permitted daily with no other restrictions and there are no unfunded commitments.</w:t>
      </w:r>
    </w:p>
    <w:p>
      <w:pPr>
        <w:spacing w:after="0" w:line="175" w:lineRule="exact"/>
        <w:rPr>
          <w:sz w:val="20"/>
          <w:szCs w:val="20"/>
          <w:color w:val="auto"/>
        </w:rPr>
      </w:pPr>
    </w:p>
    <w:p>
      <w:pPr>
        <w:jc w:val="both"/>
        <w:ind w:right="20" w:firstLine="405"/>
        <w:spacing w:after="0" w:line="291" w:lineRule="auto"/>
        <w:rPr>
          <w:sz w:val="20"/>
          <w:szCs w:val="20"/>
          <w:color w:val="auto"/>
        </w:rPr>
      </w:pPr>
      <w:r>
        <w:rPr>
          <w:rFonts w:ascii="Arial" w:cs="Arial" w:eastAsia="Arial" w:hAnsi="Arial"/>
          <w:sz w:val="18"/>
          <w:szCs w:val="18"/>
          <w:color w:val="auto"/>
        </w:rPr>
        <w:t>The objective of the Wellington Trust is to provide long-term total return in excess of Russell 2000 index. The NAV for the Wellington Trust is based on the fair value of the underlying investments held by the fund less their liabilities. The beneficial interest of each participant is represented by units. Redemption for the Wellington Trust is permitted daily and there are no notice periods or unfunded commitments.</w:t>
      </w:r>
    </w:p>
    <w:p>
      <w:pPr>
        <w:spacing w:after="0" w:line="165" w:lineRule="exact"/>
        <w:rPr>
          <w:sz w:val="20"/>
          <w:szCs w:val="20"/>
          <w:color w:val="auto"/>
        </w:rPr>
      </w:pPr>
    </w:p>
    <w:p>
      <w:pPr>
        <w:jc w:val="both"/>
        <w:ind w:firstLine="405"/>
        <w:spacing w:after="0" w:line="260" w:lineRule="auto"/>
        <w:rPr>
          <w:sz w:val="20"/>
          <w:szCs w:val="20"/>
          <w:color w:val="auto"/>
        </w:rPr>
      </w:pPr>
      <w:r>
        <w:rPr>
          <w:rFonts w:ascii="Arial" w:cs="Arial" w:eastAsia="Arial" w:hAnsi="Arial"/>
          <w:sz w:val="20"/>
          <w:szCs w:val="20"/>
          <w:color w:val="auto"/>
        </w:rPr>
        <w:t>The objective of the Value Trust is to maximize current income and maintain principal stability by investing primarily in a diversified portfolio of guaranteed investment contracts, bank investment contracts and separate account</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40"/>
          </w:cols>
          <w:pgMar w:left="320" w:top="117" w:right="339" w:bottom="1440" w:gutter="0" w:footer="0" w:header="0"/>
        </w:sectPr>
      </w:pPr>
    </w:p>
    <w:bookmarkStart w:id="14" w:name="page15"/>
    <w:bookmarkEnd w:id="14"/>
    <w:p>
      <w:pPr>
        <w:spacing w:after="0"/>
        <w:rPr>
          <w:sz w:val="20"/>
          <w:szCs w:val="20"/>
          <w:color w:val="auto"/>
        </w:rPr>
      </w:pPr>
      <w:r>
        <w:rPr>
          <w:rFonts w:ascii="Arial" w:cs="Arial" w:eastAsia="Arial" w:hAnsi="Arial"/>
          <w:sz w:val="25"/>
          <w:szCs w:val="25"/>
          <w:b w:val="1"/>
          <w:bCs w:val="1"/>
          <w:color w:val="auto"/>
        </w:rPr>
        <w:t>FLOWSERVE CORPORATION</w:t>
      </w:r>
    </w:p>
    <w:p>
      <w:pPr>
        <w:spacing w:after="0" w:line="38"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RETIREMENT SAVINGS PLAN</w:t>
      </w:r>
    </w:p>
    <w:p>
      <w:pPr>
        <w:spacing w:after="0" w:line="373" w:lineRule="exact"/>
        <w:rPr>
          <w:sz w:val="20"/>
          <w:szCs w:val="20"/>
          <w:color w:val="auto"/>
        </w:rPr>
      </w:pPr>
    </w:p>
    <w:p>
      <w:pPr>
        <w:ind w:left="60"/>
        <w:spacing w:after="0"/>
        <w:rPr>
          <w:sz w:val="20"/>
          <w:szCs w:val="20"/>
          <w:color w:val="auto"/>
        </w:rPr>
      </w:pPr>
      <w:r>
        <w:rPr>
          <w:rFonts w:ascii="Arial" w:cs="Arial" w:eastAsia="Arial" w:hAnsi="Arial"/>
          <w:sz w:val="20"/>
          <w:szCs w:val="20"/>
          <w:b w:val="1"/>
          <w:bCs w:val="1"/>
          <w:color w:val="auto"/>
        </w:rPr>
        <w:t>NOTES TO FINANCIAL STATEMENTS (CONTINUED)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31115</wp:posOffset>
            </wp:positionV>
            <wp:extent cx="709803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098030" cy="17145"/>
                    </a:xfrm>
                    <a:prstGeom prst="rect">
                      <a:avLst/>
                    </a:prstGeom>
                    <a:noFill/>
                  </pic:spPr>
                </pic:pic>
              </a:graphicData>
            </a:graphic>
          </wp:anchor>
        </w:drawing>
      </w:r>
    </w:p>
    <w:p>
      <w:pPr>
        <w:spacing w:after="0" w:line="200" w:lineRule="exact"/>
        <w:rPr>
          <w:sz w:val="20"/>
          <w:szCs w:val="20"/>
          <w:color w:val="auto"/>
        </w:rPr>
      </w:pPr>
    </w:p>
    <w:p>
      <w:pPr>
        <w:spacing w:after="0" w:line="285"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contracts. The beneficial interest of each participant is represented by units. Units are issued and redeemed daily at the Value Trust’s constant NAV of $1 per unit. Distribution to the Value Trust unit holders is declared daily from the net investment income and automatically reinvested in the fund on a monthly basis, when paid. It is the policy of the fund to use its best efforts to maintain a stable value of $1 per unit and there are no unfunded commitments.</w:t>
      </w:r>
    </w:p>
    <w:p>
      <w:pPr>
        <w:spacing w:after="0" w:line="205" w:lineRule="exact"/>
        <w:rPr>
          <w:sz w:val="20"/>
          <w:szCs w:val="20"/>
          <w:color w:val="auto"/>
        </w:rPr>
      </w:pPr>
    </w:p>
    <w:p>
      <w:pPr>
        <w:jc w:val="both"/>
        <w:ind w:firstLine="405"/>
        <w:spacing w:after="0" w:line="250" w:lineRule="auto"/>
        <w:rPr>
          <w:sz w:val="20"/>
          <w:szCs w:val="20"/>
          <w:color w:val="auto"/>
        </w:rPr>
      </w:pPr>
      <w:r>
        <w:rPr>
          <w:rFonts w:ascii="Arial" w:cs="Arial" w:eastAsia="Arial" w:hAnsi="Arial"/>
          <w:sz w:val="20"/>
          <w:szCs w:val="20"/>
          <w:color w:val="auto"/>
        </w:rPr>
        <w:t>Under the terms of the fund’s declaration of trust for both the Dated Trusts and the Value Trust, the Plan would be required to provide an advance written notice prior to redeeming the trust units of 90-days and 12 to 30 months, respectively. The notice period for both the Dated Trusts and the Value Trust funds may be shortened or waived by the trustee's discretion.</w:t>
      </w:r>
    </w:p>
    <w:p>
      <w:pPr>
        <w:spacing w:after="0" w:line="193" w:lineRule="exact"/>
        <w:rPr>
          <w:sz w:val="20"/>
          <w:szCs w:val="20"/>
          <w:color w:val="auto"/>
        </w:rPr>
      </w:pPr>
    </w:p>
    <w:p>
      <w:pPr>
        <w:spacing w:after="0"/>
        <w:tabs>
          <w:tab w:leader="none" w:pos="320" w:val="left"/>
        </w:tabs>
        <w:rPr>
          <w:sz w:val="20"/>
          <w:szCs w:val="20"/>
          <w:color w:val="auto"/>
        </w:rPr>
      </w:pPr>
      <w:r>
        <w:rPr>
          <w:rFonts w:ascii="Arial" w:cs="Arial" w:eastAsia="Arial" w:hAnsi="Arial"/>
          <w:sz w:val="20"/>
          <w:szCs w:val="20"/>
          <w:b w:val="1"/>
          <w:bCs w:val="1"/>
          <w:color w:val="auto"/>
        </w:rPr>
        <w:t>4.</w:t>
      </w:r>
      <w:r>
        <w:rPr>
          <w:sz w:val="20"/>
          <w:szCs w:val="20"/>
          <w:color w:val="auto"/>
        </w:rPr>
        <w:tab/>
      </w:r>
      <w:r>
        <w:rPr>
          <w:rFonts w:ascii="Arial" w:cs="Arial" w:eastAsia="Arial" w:hAnsi="Arial"/>
          <w:sz w:val="19"/>
          <w:szCs w:val="19"/>
          <w:b w:val="1"/>
          <w:bCs w:val="1"/>
          <w:color w:val="auto"/>
        </w:rPr>
        <w:t>RELATED PARTIES AND PARTY-IN-INTEREST TRANSACTIONS</w:t>
      </w:r>
    </w:p>
    <w:p>
      <w:pPr>
        <w:spacing w:after="0" w:line="222" w:lineRule="exact"/>
        <w:rPr>
          <w:sz w:val="20"/>
          <w:szCs w:val="20"/>
          <w:color w:val="auto"/>
        </w:rPr>
      </w:pPr>
    </w:p>
    <w:p>
      <w:pPr>
        <w:jc w:val="both"/>
        <w:ind w:firstLine="405"/>
        <w:spacing w:after="0" w:line="269" w:lineRule="auto"/>
        <w:rPr>
          <w:sz w:val="20"/>
          <w:szCs w:val="20"/>
          <w:color w:val="auto"/>
        </w:rPr>
      </w:pPr>
      <w:r>
        <w:rPr>
          <w:rFonts w:ascii="Arial" w:cs="Arial" w:eastAsia="Arial" w:hAnsi="Arial"/>
          <w:sz w:val="19"/>
          <w:szCs w:val="19"/>
          <w:color w:val="auto"/>
        </w:rPr>
        <w:t>Party-in-interest transactions include those with fiduciaries or employees of the Plan, any person who provides services to the Plan, an employer whose employees are covered by the Plan, an employee organization whose members are covered by the Plan, a person who owns 50% or more of such an employer or employee organization, or relatives of such aforementioned persons.</w:t>
      </w:r>
    </w:p>
    <w:p>
      <w:pPr>
        <w:spacing w:after="0" w:line="183" w:lineRule="exact"/>
        <w:rPr>
          <w:sz w:val="20"/>
          <w:szCs w:val="20"/>
          <w:color w:val="auto"/>
        </w:rPr>
      </w:pPr>
    </w:p>
    <w:p>
      <w:pPr>
        <w:jc w:val="both"/>
        <w:ind w:firstLine="405"/>
        <w:spacing w:after="0" w:line="250" w:lineRule="auto"/>
        <w:rPr>
          <w:sz w:val="20"/>
          <w:szCs w:val="20"/>
          <w:color w:val="auto"/>
        </w:rPr>
      </w:pPr>
      <w:r>
        <w:rPr>
          <w:rFonts w:ascii="Arial" w:cs="Arial" w:eastAsia="Arial" w:hAnsi="Arial"/>
          <w:sz w:val="20"/>
          <w:szCs w:val="20"/>
          <w:color w:val="auto"/>
        </w:rPr>
        <w:t>Certain investments are shares of funds managed by affiliates of T. Rowe Price Trust Company which is the trustee as defined by the Plan and, therefore, transactions with these registered investment companies and common and collective trusts qualify as party-in-interest transactions, which are exempt from the prohibited transaction rules.</w:t>
      </w:r>
    </w:p>
    <w:p>
      <w:pPr>
        <w:spacing w:after="0" w:line="199" w:lineRule="exact"/>
        <w:rPr>
          <w:sz w:val="20"/>
          <w:szCs w:val="20"/>
          <w:color w:val="auto"/>
        </w:rPr>
      </w:pPr>
    </w:p>
    <w:p>
      <w:pPr>
        <w:jc w:val="both"/>
        <w:ind w:firstLine="405"/>
        <w:spacing w:after="0" w:line="278" w:lineRule="auto"/>
        <w:rPr>
          <w:sz w:val="20"/>
          <w:szCs w:val="20"/>
          <w:color w:val="auto"/>
        </w:rPr>
      </w:pPr>
      <w:r>
        <w:rPr>
          <w:rFonts w:ascii="Arial" w:cs="Arial" w:eastAsia="Arial" w:hAnsi="Arial"/>
          <w:sz w:val="18"/>
          <w:szCs w:val="18"/>
          <w:color w:val="auto"/>
        </w:rPr>
        <w:t>Additionally, the Plan holds investments in the Company's common stock and notes receivable from participants. Transactions in the Company's common stock qualify as both party-in-interest and related-party transactions, and transactions in the Plan's notes receivable from participants qualify as party-in-interest transactions. Transactions in both the Company's common stock and the Plan's notes receivable from participants are exempt from the prohibited transaction rules. The Plan paid certain expenses related to plan operations and investment activities to various service providers. These transactions are also party-in-interest transactions under ERISA.</w:t>
      </w:r>
    </w:p>
    <w:p>
      <w:pPr>
        <w:spacing w:after="0" w:line="172" w:lineRule="exact"/>
        <w:rPr>
          <w:sz w:val="20"/>
          <w:szCs w:val="20"/>
          <w:color w:val="auto"/>
        </w:rPr>
      </w:pPr>
    </w:p>
    <w:p>
      <w:pPr>
        <w:spacing w:after="0"/>
        <w:tabs>
          <w:tab w:leader="none" w:pos="320" w:val="left"/>
        </w:tabs>
        <w:rPr>
          <w:sz w:val="20"/>
          <w:szCs w:val="20"/>
          <w:color w:val="auto"/>
        </w:rPr>
      </w:pPr>
      <w:r>
        <w:rPr>
          <w:rFonts w:ascii="Arial" w:cs="Arial" w:eastAsia="Arial" w:hAnsi="Arial"/>
          <w:sz w:val="20"/>
          <w:szCs w:val="20"/>
          <w:b w:val="1"/>
          <w:bCs w:val="1"/>
          <w:color w:val="auto"/>
        </w:rPr>
        <w:t>5.</w:t>
      </w:r>
      <w:r>
        <w:rPr>
          <w:sz w:val="20"/>
          <w:szCs w:val="20"/>
          <w:color w:val="auto"/>
        </w:rPr>
        <w:tab/>
      </w:r>
      <w:r>
        <w:rPr>
          <w:rFonts w:ascii="Arial" w:cs="Arial" w:eastAsia="Arial" w:hAnsi="Arial"/>
          <w:sz w:val="19"/>
          <w:szCs w:val="19"/>
          <w:b w:val="1"/>
          <w:bCs w:val="1"/>
          <w:color w:val="auto"/>
        </w:rPr>
        <w:t>INCOME TAX STATUS</w:t>
      </w:r>
    </w:p>
    <w:p>
      <w:pPr>
        <w:spacing w:after="0" w:line="222" w:lineRule="exact"/>
        <w:rPr>
          <w:sz w:val="20"/>
          <w:szCs w:val="20"/>
          <w:color w:val="auto"/>
        </w:rPr>
      </w:pPr>
    </w:p>
    <w:p>
      <w:pPr>
        <w:jc w:val="both"/>
        <w:ind w:firstLine="405"/>
        <w:spacing w:after="0" w:line="250" w:lineRule="auto"/>
        <w:rPr>
          <w:sz w:val="20"/>
          <w:szCs w:val="20"/>
          <w:color w:val="auto"/>
        </w:rPr>
      </w:pPr>
      <w:r>
        <w:rPr>
          <w:rFonts w:ascii="Arial" w:cs="Arial" w:eastAsia="Arial" w:hAnsi="Arial"/>
          <w:sz w:val="20"/>
          <w:szCs w:val="20"/>
          <w:color w:val="auto"/>
        </w:rPr>
        <w:t>The Plan has received a determination letter from the Internal Revenue Service dated December 22, 2016, stating that the Plan, as then designed and operated, qualified under Section 401(a) of the Code and, therefore, the related trust is exempt from taxation. The Plan has been amended since receiving the determination letter.</w:t>
      </w:r>
    </w:p>
    <w:p>
      <w:pPr>
        <w:spacing w:after="0" w:line="199" w:lineRule="exact"/>
        <w:rPr>
          <w:sz w:val="20"/>
          <w:szCs w:val="20"/>
          <w:color w:val="auto"/>
        </w:rPr>
      </w:pPr>
    </w:p>
    <w:p>
      <w:pPr>
        <w:jc w:val="both"/>
        <w:ind w:firstLine="405"/>
        <w:spacing w:after="0" w:line="246" w:lineRule="auto"/>
        <w:rPr>
          <w:sz w:val="20"/>
          <w:szCs w:val="20"/>
          <w:color w:val="auto"/>
        </w:rPr>
      </w:pPr>
      <w:r>
        <w:rPr>
          <w:rFonts w:ascii="Arial" w:cs="Arial" w:eastAsia="Arial" w:hAnsi="Arial"/>
          <w:sz w:val="20"/>
          <w:szCs w:val="20"/>
          <w:color w:val="auto"/>
        </w:rPr>
        <w:t>The Plan Administrator believes the Plan has been operated in compliance with the applicable requirements of the Code throughout 2019 and 2018; therefore, the Plan and the related trust are exempt from taxation. The Plan is subject to routine audits by taxing jurisdictions; however, there are currently no audits for any tax periods in progress. The Plan Administrator believes it is no longer subject to income tax examination for years prior to 2016.</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40"/>
          </w:cols>
          <w:pgMar w:left="320" w:top="117" w:right="339" w:bottom="1440" w:gutter="0" w:footer="0" w:header="0"/>
        </w:sectPr>
      </w:pPr>
    </w:p>
    <w:bookmarkStart w:id="15" w:name="page16"/>
    <w:bookmarkEnd w:id="15"/>
    <w:p>
      <w:pPr>
        <w:spacing w:after="0"/>
        <w:rPr>
          <w:sz w:val="20"/>
          <w:szCs w:val="20"/>
          <w:color w:val="auto"/>
        </w:rPr>
      </w:pPr>
      <w:r>
        <w:rPr>
          <w:rFonts w:ascii="Arial" w:cs="Arial" w:eastAsia="Arial" w:hAnsi="Arial"/>
          <w:sz w:val="25"/>
          <w:szCs w:val="25"/>
          <w:b w:val="1"/>
          <w:bCs w:val="1"/>
          <w:color w:val="auto"/>
        </w:rPr>
        <w:t>FLOWSERVE CORPORATION</w:t>
      </w:r>
    </w:p>
    <w:p>
      <w:pPr>
        <w:spacing w:after="0" w:line="38"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RETIREMENT SAVINGS PLAN</w:t>
      </w:r>
    </w:p>
    <w:p>
      <w:pPr>
        <w:spacing w:after="0" w:line="373" w:lineRule="exact"/>
        <w:rPr>
          <w:sz w:val="20"/>
          <w:szCs w:val="20"/>
          <w:color w:val="auto"/>
        </w:rPr>
      </w:pPr>
    </w:p>
    <w:p>
      <w:pPr>
        <w:ind w:left="60"/>
        <w:spacing w:after="0"/>
        <w:rPr>
          <w:sz w:val="20"/>
          <w:szCs w:val="20"/>
          <w:color w:val="auto"/>
        </w:rPr>
      </w:pPr>
      <w:r>
        <w:rPr>
          <w:rFonts w:ascii="Arial" w:cs="Arial" w:eastAsia="Arial" w:hAnsi="Arial"/>
          <w:sz w:val="20"/>
          <w:szCs w:val="20"/>
          <w:b w:val="1"/>
          <w:bCs w:val="1"/>
          <w:color w:val="auto"/>
        </w:rPr>
        <w:t>NOTES TO FINANCIAL STATEMENTS (CONTINUED)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31115</wp:posOffset>
            </wp:positionV>
            <wp:extent cx="709803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098030" cy="1714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spacing w:after="0"/>
        <w:tabs>
          <w:tab w:leader="none" w:pos="320" w:val="left"/>
        </w:tabs>
        <w:rPr>
          <w:sz w:val="20"/>
          <w:szCs w:val="20"/>
          <w:color w:val="auto"/>
        </w:rPr>
      </w:pPr>
      <w:r>
        <w:rPr>
          <w:rFonts w:ascii="Arial" w:cs="Arial" w:eastAsia="Arial" w:hAnsi="Arial"/>
          <w:sz w:val="20"/>
          <w:szCs w:val="20"/>
          <w:b w:val="1"/>
          <w:bCs w:val="1"/>
          <w:color w:val="auto"/>
        </w:rPr>
        <w:t>6.</w:t>
      </w:r>
      <w:r>
        <w:rPr>
          <w:sz w:val="20"/>
          <w:szCs w:val="20"/>
          <w:color w:val="auto"/>
        </w:rPr>
        <w:tab/>
      </w:r>
      <w:r>
        <w:rPr>
          <w:rFonts w:ascii="Arial" w:cs="Arial" w:eastAsia="Arial" w:hAnsi="Arial"/>
          <w:sz w:val="19"/>
          <w:szCs w:val="19"/>
          <w:b w:val="1"/>
          <w:bCs w:val="1"/>
          <w:color w:val="auto"/>
        </w:rPr>
        <w:t>FAIR VALUE OF INVESTMENTS</w:t>
      </w:r>
    </w:p>
    <w:p>
      <w:pPr>
        <w:spacing w:after="0" w:line="222" w:lineRule="exact"/>
        <w:rPr>
          <w:sz w:val="20"/>
          <w:szCs w:val="20"/>
          <w:color w:val="auto"/>
        </w:rPr>
      </w:pPr>
    </w:p>
    <w:p>
      <w:pPr>
        <w:jc w:val="both"/>
        <w:ind w:firstLine="405"/>
        <w:spacing w:after="0" w:line="244" w:lineRule="auto"/>
        <w:rPr>
          <w:sz w:val="20"/>
          <w:szCs w:val="20"/>
          <w:color w:val="auto"/>
        </w:rPr>
      </w:pPr>
      <w:r>
        <w:rPr>
          <w:rFonts w:ascii="Arial" w:cs="Arial" w:eastAsia="Arial" w:hAnsi="Arial"/>
          <w:sz w:val="20"/>
          <w:szCs w:val="20"/>
          <w:color w:val="auto"/>
        </w:rPr>
        <w:t>The Plan's investments, shown below, are presented at fair value. Fair value is defined as the price that would be received to sell an asset or paid to transfer a liability in an orderly transaction between market participants at the measurement date. Where available, fair value is based on observable market prices or parameters or derived from such prices or parameters. Where observable prices or inputs are not available, valuation models may be applied. For further discussions on how the fair values of the Plan's investments are calculated, see Note 3 to the financial statements included in this report.</w:t>
      </w:r>
    </w:p>
    <w:p>
      <w:pPr>
        <w:spacing w:after="0" w:line="208" w:lineRule="exact"/>
        <w:rPr>
          <w:sz w:val="20"/>
          <w:szCs w:val="20"/>
          <w:color w:val="auto"/>
        </w:rPr>
      </w:pPr>
    </w:p>
    <w:p>
      <w:pPr>
        <w:jc w:val="both"/>
        <w:ind w:firstLine="405"/>
        <w:spacing w:after="0" w:line="246" w:lineRule="auto"/>
        <w:rPr>
          <w:sz w:val="20"/>
          <w:szCs w:val="20"/>
          <w:color w:val="auto"/>
        </w:rPr>
      </w:pPr>
      <w:r>
        <w:rPr>
          <w:rFonts w:ascii="Arial" w:cs="Arial" w:eastAsia="Arial" w:hAnsi="Arial"/>
          <w:sz w:val="20"/>
          <w:szCs w:val="20"/>
          <w:color w:val="auto"/>
        </w:rPr>
        <w:t>Investments are recorded at fair value in the statements of net assets available for benefits and categorized based upon the level of judgment associated with the lowest level of significant inputs used to measure their fair values. Hierarchical levels, as defined by ASC 820, “Fair Value Measurements,” are directly related to the amount of subjectivity associated with the inputs to fair valuation of these assets, and are as follows:</w:t>
      </w:r>
    </w:p>
    <w:p>
      <w:pPr>
        <w:spacing w:after="0" w:line="205" w:lineRule="exact"/>
        <w:rPr>
          <w:sz w:val="20"/>
          <w:szCs w:val="20"/>
          <w:color w:val="auto"/>
        </w:rPr>
      </w:pPr>
    </w:p>
    <w:p>
      <w:pPr>
        <w:ind w:left="500"/>
        <w:spacing w:after="0"/>
        <w:rPr>
          <w:sz w:val="20"/>
          <w:szCs w:val="20"/>
          <w:color w:val="auto"/>
        </w:rPr>
      </w:pPr>
      <w:r>
        <w:rPr>
          <w:rFonts w:ascii="Arial" w:cs="Arial" w:eastAsia="Arial" w:hAnsi="Arial"/>
          <w:sz w:val="20"/>
          <w:szCs w:val="20"/>
          <w:color w:val="auto"/>
        </w:rPr>
        <w:t>Level I - Inputs are unadjusted, quoted prices in active markets for identical assets at the measurement date.</w:t>
      </w:r>
    </w:p>
    <w:p>
      <w:pPr>
        <w:spacing w:after="0" w:line="229" w:lineRule="exact"/>
        <w:rPr>
          <w:sz w:val="20"/>
          <w:szCs w:val="20"/>
          <w:color w:val="auto"/>
        </w:rPr>
      </w:pPr>
    </w:p>
    <w:p>
      <w:pPr>
        <w:jc w:val="both"/>
        <w:ind w:left="500"/>
        <w:spacing w:after="0" w:line="260" w:lineRule="auto"/>
        <w:rPr>
          <w:sz w:val="20"/>
          <w:szCs w:val="20"/>
          <w:color w:val="auto"/>
        </w:rPr>
      </w:pPr>
      <w:r>
        <w:rPr>
          <w:rFonts w:ascii="Arial" w:cs="Arial" w:eastAsia="Arial" w:hAnsi="Arial"/>
          <w:sz w:val="20"/>
          <w:szCs w:val="20"/>
          <w:color w:val="auto"/>
        </w:rPr>
        <w:t>Level II - Inputs (other than quoted prices included in Level I) are either directly or indirectly observable for the asset through correlation with market data at the measurement date and for the duration of the instrument's anticipated life.</w:t>
      </w:r>
    </w:p>
    <w:p>
      <w:pPr>
        <w:spacing w:after="0" w:line="177" w:lineRule="exact"/>
        <w:rPr>
          <w:sz w:val="20"/>
          <w:szCs w:val="20"/>
          <w:color w:val="auto"/>
        </w:rPr>
      </w:pPr>
    </w:p>
    <w:p>
      <w:pPr>
        <w:jc w:val="both"/>
        <w:ind w:left="500"/>
        <w:spacing w:after="0" w:line="250" w:lineRule="auto"/>
        <w:rPr>
          <w:sz w:val="20"/>
          <w:szCs w:val="20"/>
          <w:color w:val="auto"/>
        </w:rPr>
      </w:pPr>
      <w:r>
        <w:rPr>
          <w:rFonts w:ascii="Arial" w:cs="Arial" w:eastAsia="Arial" w:hAnsi="Arial"/>
          <w:sz w:val="20"/>
          <w:szCs w:val="20"/>
          <w:color w:val="auto"/>
        </w:rPr>
        <w:t>Level III - Inputs reflect the best estimate of what market participants would use in pricing the asset at the measurement date. Consideration is given to the risk inherent in the valuation technique and the risk inherent in the inputs to the model. As of December 31, 2019 and 2018 the Plan held no investments in Level III assets.</w:t>
      </w:r>
    </w:p>
    <w:p>
      <w:pPr>
        <w:spacing w:after="0" w:line="199" w:lineRule="exact"/>
        <w:rPr>
          <w:sz w:val="20"/>
          <w:szCs w:val="20"/>
          <w:color w:val="auto"/>
        </w:rPr>
      </w:pPr>
    </w:p>
    <w:p>
      <w:pPr>
        <w:jc w:val="both"/>
        <w:ind w:firstLine="405"/>
        <w:spacing w:after="0" w:line="244" w:lineRule="auto"/>
        <w:rPr>
          <w:sz w:val="20"/>
          <w:szCs w:val="20"/>
          <w:color w:val="auto"/>
        </w:rPr>
      </w:pPr>
      <w:r>
        <w:rPr>
          <w:rFonts w:ascii="Arial" w:cs="Arial" w:eastAsia="Arial" w:hAnsi="Arial"/>
          <w:sz w:val="20"/>
          <w:szCs w:val="20"/>
          <w:color w:val="auto"/>
        </w:rPr>
        <w:t>In October 2019, investment units held in the Company Stock Fund ("Fund") were converted to shares of Flowserve Corporation common stock ("Common Stock"). The Common Stock is publicly-traded and is correlated to active market data and therefore shares were classified within Level I as of December 31, 2019. Investment units in the Fund consisted primarily of Flowserve Corporation common stock. The value of the Fund correlated to market data of the Common Stock and therefore was classified within Level II as of December 31, 2018.</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4520" w:type="dxa"/>
            <w:vAlign w:val="bottom"/>
          </w:tcPr>
          <w:p>
            <w:pPr>
              <w:ind w:left="420"/>
              <w:spacing w:after="0"/>
              <w:rPr>
                <w:sz w:val="20"/>
                <w:szCs w:val="20"/>
                <w:color w:val="auto"/>
              </w:rPr>
            </w:pPr>
            <w:r>
              <w:rPr>
                <w:rFonts w:ascii="Arial" w:cs="Arial" w:eastAsia="Arial" w:hAnsi="Arial"/>
                <w:sz w:val="20"/>
                <w:szCs w:val="20"/>
                <w:color w:val="auto"/>
                <w:w w:val="98"/>
              </w:rPr>
              <w:t>The fair values of the Plan's investments were:</w:t>
            </w:r>
          </w:p>
        </w:tc>
        <w:tc>
          <w:tcPr>
            <w:tcW w:w="3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420" w:type="dxa"/>
            <w:vAlign w:val="bottom"/>
          </w:tcPr>
          <w:p>
            <w:pPr>
              <w:spacing w:after="0"/>
              <w:rPr>
                <w:sz w:val="21"/>
                <w:szCs w:val="21"/>
                <w:color w:val="auto"/>
              </w:rPr>
            </w:pPr>
          </w:p>
        </w:tc>
      </w:tr>
      <w:tr>
        <w:trPr>
          <w:trHeight w:val="392"/>
        </w:trPr>
        <w:tc>
          <w:tcPr>
            <w:tcW w:w="45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gridSpan w:val="4"/>
          </w:tcPr>
          <w:p>
            <w:pPr>
              <w:ind w:left="80"/>
              <w:spacing w:after="0"/>
              <w:rPr>
                <w:sz w:val="20"/>
                <w:szCs w:val="20"/>
                <w:color w:val="auto"/>
              </w:rPr>
            </w:pPr>
            <w:r>
              <w:rPr>
                <w:rFonts w:ascii="Arial" w:cs="Arial" w:eastAsia="Arial" w:hAnsi="Arial"/>
                <w:sz w:val="20"/>
                <w:szCs w:val="20"/>
                <w:b w:val="1"/>
                <w:bCs w:val="1"/>
                <w:color w:val="auto"/>
                <w:w w:val="87"/>
              </w:rPr>
              <w:t>December 31, 2019</w:t>
            </w:r>
          </w:p>
        </w:tc>
        <w:tc>
          <w:tcPr>
            <w:tcW w:w="300" w:type="dxa"/>
            <w:vAlign w:val="bottom"/>
          </w:tcPr>
          <w:p>
            <w:pPr>
              <w:spacing w:after="0"/>
              <w:rPr>
                <w:sz w:val="24"/>
                <w:szCs w:val="24"/>
                <w:color w:val="auto"/>
              </w:rPr>
            </w:pPr>
          </w:p>
        </w:tc>
        <w:tc>
          <w:tcPr>
            <w:tcW w:w="1420" w:type="dxa"/>
            <w:vAlign w:val="bottom"/>
          </w:tcPr>
          <w:p>
            <w:pPr>
              <w:spacing w:after="0"/>
              <w:rPr>
                <w:sz w:val="24"/>
                <w:szCs w:val="24"/>
                <w:color w:val="auto"/>
              </w:rPr>
            </w:pPr>
          </w:p>
        </w:tc>
      </w:tr>
      <w:tr>
        <w:trPr>
          <w:trHeight w:val="23"/>
        </w:trPr>
        <w:tc>
          <w:tcPr>
            <w:tcW w:w="45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gridSpan w:val="3"/>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54"/>
        </w:trPr>
        <w:tc>
          <w:tcPr>
            <w:tcW w:w="45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380" w:type="dxa"/>
            <w:vAlign w:val="bottom"/>
            <w:gridSpan w:val="2"/>
          </w:tcPr>
          <w:p>
            <w:pPr>
              <w:ind w:left="180"/>
              <w:spacing w:after="0"/>
              <w:rPr>
                <w:sz w:val="20"/>
                <w:szCs w:val="20"/>
                <w:color w:val="auto"/>
              </w:rPr>
            </w:pPr>
            <w:r>
              <w:rPr>
                <w:rFonts w:ascii="Arial" w:cs="Arial" w:eastAsia="Arial" w:hAnsi="Arial"/>
                <w:sz w:val="20"/>
                <w:szCs w:val="20"/>
                <w:b w:val="1"/>
                <w:bCs w:val="1"/>
                <w:color w:val="auto"/>
              </w:rPr>
              <w:t>Level I</w:t>
            </w:r>
          </w:p>
        </w:tc>
        <w:tc>
          <w:tcPr>
            <w:tcW w:w="280" w:type="dxa"/>
            <w:vAlign w:val="bottom"/>
          </w:tcPr>
          <w:p>
            <w:pPr>
              <w:spacing w:after="0"/>
              <w:rPr>
                <w:sz w:val="22"/>
                <w:szCs w:val="22"/>
                <w:color w:val="auto"/>
              </w:rPr>
            </w:pPr>
          </w:p>
        </w:tc>
        <w:tc>
          <w:tcPr>
            <w:tcW w:w="1400" w:type="dxa"/>
            <w:vAlign w:val="bottom"/>
            <w:gridSpan w:val="3"/>
          </w:tcPr>
          <w:p>
            <w:pPr>
              <w:ind w:left="160"/>
              <w:spacing w:after="0"/>
              <w:rPr>
                <w:sz w:val="20"/>
                <w:szCs w:val="20"/>
                <w:color w:val="auto"/>
              </w:rPr>
            </w:pPr>
            <w:r>
              <w:rPr>
                <w:rFonts w:ascii="Arial" w:cs="Arial" w:eastAsia="Arial" w:hAnsi="Arial"/>
                <w:sz w:val="20"/>
                <w:szCs w:val="20"/>
                <w:b w:val="1"/>
                <w:bCs w:val="1"/>
                <w:color w:val="auto"/>
              </w:rPr>
              <w:t>Level II</w:t>
            </w:r>
          </w:p>
        </w:tc>
        <w:tc>
          <w:tcPr>
            <w:tcW w:w="300" w:type="dxa"/>
            <w:vAlign w:val="bottom"/>
          </w:tcPr>
          <w:p>
            <w:pPr>
              <w:spacing w:after="0"/>
              <w:rPr>
                <w:sz w:val="22"/>
                <w:szCs w:val="22"/>
                <w:color w:val="auto"/>
              </w:rPr>
            </w:pPr>
          </w:p>
        </w:tc>
        <w:tc>
          <w:tcPr>
            <w:tcW w:w="1420" w:type="dxa"/>
            <w:vAlign w:val="bottom"/>
          </w:tcPr>
          <w:p>
            <w:pPr>
              <w:jc w:val="right"/>
              <w:ind w:right="561"/>
              <w:spacing w:after="0"/>
              <w:rPr>
                <w:sz w:val="20"/>
                <w:szCs w:val="20"/>
                <w:color w:val="auto"/>
              </w:rPr>
            </w:pPr>
            <w:r>
              <w:rPr>
                <w:rFonts w:ascii="Arial" w:cs="Arial" w:eastAsia="Arial" w:hAnsi="Arial"/>
                <w:sz w:val="20"/>
                <w:szCs w:val="20"/>
                <w:b w:val="1"/>
                <w:bCs w:val="1"/>
                <w:color w:val="auto"/>
              </w:rPr>
              <w:t>Total</w:t>
            </w:r>
          </w:p>
        </w:tc>
      </w:tr>
      <w:tr>
        <w:trPr>
          <w:trHeight w:val="23"/>
        </w:trPr>
        <w:tc>
          <w:tcPr>
            <w:tcW w:w="45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63"/>
        </w:trPr>
        <w:tc>
          <w:tcPr>
            <w:tcW w:w="4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0"/>
                <w:szCs w:val="20"/>
                <w:color w:val="auto"/>
              </w:rPr>
              <w:t>Registered investment companies</w:t>
            </w:r>
          </w:p>
        </w:tc>
        <w:tc>
          <w:tcPr>
            <w:tcW w:w="3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363,021,513</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400" w:type="dxa"/>
            <w:vAlign w:val="bottom"/>
            <w:tcBorders>
              <w:bottom w:val="single" w:sz="8" w:color="CCEEFF"/>
            </w:tcBorders>
            <w:gridSpan w:val="3"/>
            <w:shd w:val="clear" w:color="auto" w:fill="CCEEFF"/>
          </w:tcPr>
          <w:p>
            <w:pPr>
              <w:ind w:left="980"/>
              <w:spacing w:after="0"/>
              <w:rPr>
                <w:sz w:val="20"/>
                <w:szCs w:val="20"/>
                <w:color w:val="auto"/>
              </w:rPr>
            </w:pPr>
            <w:r>
              <w:rPr>
                <w:rFonts w:ascii="Arial" w:cs="Arial" w:eastAsia="Arial" w:hAnsi="Arial"/>
                <w:sz w:val="20"/>
                <w:szCs w:val="20"/>
                <w:color w:val="auto"/>
              </w:rPr>
              <w:t>—</w:t>
            </w:r>
          </w:p>
        </w:tc>
        <w:tc>
          <w:tcPr>
            <w:tcW w:w="30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20"/>
                <w:szCs w:val="20"/>
                <w:color w:val="auto"/>
                <w:w w:val="71"/>
              </w:rPr>
              <w:t>$</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rPr>
              <w:t>363,021,513</w:t>
            </w:r>
          </w:p>
        </w:tc>
      </w:tr>
      <w:tr>
        <w:trPr>
          <w:trHeight w:val="260"/>
        </w:trPr>
        <w:tc>
          <w:tcPr>
            <w:tcW w:w="4520" w:type="dxa"/>
            <w:vAlign w:val="bottom"/>
          </w:tcPr>
          <w:p>
            <w:pPr>
              <w:ind w:left="40"/>
              <w:spacing w:after="0"/>
              <w:rPr>
                <w:sz w:val="20"/>
                <w:szCs w:val="20"/>
                <w:color w:val="auto"/>
              </w:rPr>
            </w:pPr>
            <w:r>
              <w:rPr>
                <w:rFonts w:ascii="Arial" w:cs="Arial" w:eastAsia="Arial" w:hAnsi="Arial"/>
                <w:sz w:val="20"/>
                <w:szCs w:val="20"/>
                <w:color w:val="auto"/>
              </w:rPr>
              <w:t>Common and collective trusts(a)(b)</w:t>
            </w:r>
          </w:p>
        </w:tc>
        <w:tc>
          <w:tcPr>
            <w:tcW w:w="300" w:type="dxa"/>
            <w:vAlign w:val="bottom"/>
          </w:tcPr>
          <w:p>
            <w:pPr>
              <w:spacing w:after="0"/>
              <w:rPr>
                <w:sz w:val="22"/>
                <w:szCs w:val="22"/>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20"/>
                <w:szCs w:val="20"/>
                <w:color w:val="auto"/>
              </w:rPr>
              <w:t>—</w:t>
            </w:r>
          </w:p>
        </w:tc>
        <w:tc>
          <w:tcPr>
            <w:tcW w:w="280" w:type="dxa"/>
            <w:vAlign w:val="bottom"/>
          </w:tcPr>
          <w:p>
            <w:pPr>
              <w:spacing w:after="0"/>
              <w:rPr>
                <w:sz w:val="22"/>
                <w:szCs w:val="22"/>
                <w:color w:val="auto"/>
              </w:rPr>
            </w:pPr>
          </w:p>
        </w:tc>
        <w:tc>
          <w:tcPr>
            <w:tcW w:w="1400" w:type="dxa"/>
            <w:vAlign w:val="bottom"/>
            <w:gridSpan w:val="3"/>
          </w:tcPr>
          <w:p>
            <w:pPr>
              <w:ind w:left="980"/>
              <w:spacing w:after="0"/>
              <w:rPr>
                <w:sz w:val="20"/>
                <w:szCs w:val="20"/>
                <w:color w:val="auto"/>
              </w:rPr>
            </w:pPr>
            <w:r>
              <w:rPr>
                <w:rFonts w:ascii="Arial" w:cs="Arial" w:eastAsia="Arial" w:hAnsi="Arial"/>
                <w:sz w:val="20"/>
                <w:szCs w:val="20"/>
                <w:color w:val="auto"/>
              </w:rPr>
              <w:t>—</w:t>
            </w:r>
          </w:p>
        </w:tc>
        <w:tc>
          <w:tcPr>
            <w:tcW w:w="300" w:type="dxa"/>
            <w:vAlign w:val="bottom"/>
          </w:tcPr>
          <w:p>
            <w:pPr>
              <w:spacing w:after="0"/>
              <w:rPr>
                <w:sz w:val="22"/>
                <w:szCs w:val="22"/>
                <w:color w:val="auto"/>
              </w:rPr>
            </w:pPr>
          </w:p>
        </w:tc>
        <w:tc>
          <w:tcPr>
            <w:tcW w:w="1420" w:type="dxa"/>
            <w:vAlign w:val="bottom"/>
          </w:tcPr>
          <w:p>
            <w:pPr>
              <w:jc w:val="right"/>
              <w:spacing w:after="0"/>
              <w:rPr>
                <w:sz w:val="20"/>
                <w:szCs w:val="20"/>
                <w:color w:val="auto"/>
              </w:rPr>
            </w:pPr>
            <w:r>
              <w:rPr>
                <w:rFonts w:ascii="Arial" w:cs="Arial" w:eastAsia="Arial" w:hAnsi="Arial"/>
                <w:sz w:val="20"/>
                <w:szCs w:val="20"/>
                <w:color w:val="auto"/>
              </w:rPr>
              <w:t>635,861,508</w:t>
            </w:r>
          </w:p>
        </w:tc>
      </w:tr>
      <w:tr>
        <w:trPr>
          <w:trHeight w:val="23"/>
        </w:trPr>
        <w:tc>
          <w:tcPr>
            <w:tcW w:w="45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84"/>
        </w:trPr>
        <w:tc>
          <w:tcPr>
            <w:tcW w:w="4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0"/>
                <w:szCs w:val="20"/>
                <w:color w:val="auto"/>
              </w:rPr>
              <w:t>Flowserve Corporation common stock</w:t>
            </w:r>
          </w:p>
        </w:tc>
        <w:tc>
          <w:tcPr>
            <w:tcW w:w="30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33,675,837</w:t>
            </w:r>
          </w:p>
        </w:tc>
        <w:tc>
          <w:tcPr>
            <w:tcW w:w="12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CCEEFF"/>
            </w:tcBorders>
            <w:shd w:val="clear" w:color="auto" w:fill="CCEEFF"/>
          </w:tcPr>
          <w:p>
            <w:pPr>
              <w:spacing w:after="0"/>
              <w:rPr>
                <w:sz w:val="24"/>
                <w:szCs w:val="24"/>
                <w:color w:val="auto"/>
              </w:rPr>
            </w:pPr>
          </w:p>
        </w:tc>
        <w:tc>
          <w:tcPr>
            <w:tcW w:w="1400" w:type="dxa"/>
            <w:vAlign w:val="bottom"/>
            <w:tcBorders>
              <w:bottom w:val="single" w:sz="8" w:color="CCEEFF"/>
            </w:tcBorders>
            <w:gridSpan w:val="3"/>
            <w:shd w:val="clear" w:color="auto" w:fill="CCEEFF"/>
          </w:tcPr>
          <w:p>
            <w:pPr>
              <w:ind w:left="980"/>
              <w:spacing w:after="0"/>
              <w:rPr>
                <w:sz w:val="20"/>
                <w:szCs w:val="20"/>
                <w:color w:val="auto"/>
              </w:rPr>
            </w:pPr>
            <w:r>
              <w:rPr>
                <w:rFonts w:ascii="Arial" w:cs="Arial" w:eastAsia="Arial" w:hAnsi="Arial"/>
                <w:sz w:val="20"/>
                <w:szCs w:val="20"/>
                <w:color w:val="auto"/>
              </w:rPr>
              <w:t>—</w:t>
            </w:r>
          </w:p>
        </w:tc>
        <w:tc>
          <w:tcPr>
            <w:tcW w:w="300" w:type="dxa"/>
            <w:vAlign w:val="bottom"/>
            <w:tcBorders>
              <w:bottom w:val="single" w:sz="8" w:color="CCEEFF"/>
            </w:tcBorders>
            <w:shd w:val="clear" w:color="auto" w:fill="CCEEFF"/>
          </w:tcPr>
          <w:p>
            <w:pPr>
              <w:spacing w:after="0"/>
              <w:rPr>
                <w:sz w:val="24"/>
                <w:szCs w:val="24"/>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rPr>
              <w:t>33,675,837</w:t>
            </w:r>
          </w:p>
        </w:tc>
      </w:tr>
      <w:tr>
        <w:trPr>
          <w:trHeight w:val="272"/>
        </w:trPr>
        <w:tc>
          <w:tcPr>
            <w:tcW w:w="4520" w:type="dxa"/>
            <w:vAlign w:val="bottom"/>
          </w:tcPr>
          <w:p>
            <w:pPr>
              <w:ind w:left="40"/>
              <w:spacing w:after="0"/>
              <w:rPr>
                <w:sz w:val="20"/>
                <w:szCs w:val="20"/>
                <w:color w:val="auto"/>
              </w:rPr>
            </w:pPr>
            <w:r>
              <w:rPr>
                <w:rFonts w:ascii="Arial" w:cs="Arial" w:eastAsia="Arial" w:hAnsi="Arial"/>
                <w:sz w:val="20"/>
                <w:szCs w:val="20"/>
                <w:color w:val="auto"/>
              </w:rPr>
              <w:t>Total investments</w:t>
            </w:r>
          </w:p>
        </w:tc>
        <w:tc>
          <w:tcPr>
            <w:tcW w:w="300" w:type="dxa"/>
            <w:vAlign w:val="bottom"/>
            <w:tcBorders>
              <w:top w:val="single" w:sz="8" w:color="auto"/>
              <w:bottom w:val="single" w:sz="8" w:color="auto"/>
            </w:tcBorders>
          </w:tcPr>
          <w:p>
            <w:pPr>
              <w:jc w:val="right"/>
              <w:ind w:right="81"/>
              <w:spacing w:after="0"/>
              <w:rPr>
                <w:sz w:val="20"/>
                <w:szCs w:val="20"/>
                <w:color w:val="auto"/>
              </w:rPr>
            </w:pPr>
            <w:r>
              <w:rPr>
                <w:rFonts w:ascii="Arial" w:cs="Arial" w:eastAsia="Arial" w:hAnsi="Arial"/>
                <w:sz w:val="20"/>
                <w:szCs w:val="20"/>
                <w:color w:val="auto"/>
                <w:w w:val="89"/>
              </w:rPr>
              <w:t>$</w:t>
            </w:r>
          </w:p>
        </w:tc>
        <w:tc>
          <w:tcPr>
            <w:tcW w:w="1260" w:type="dxa"/>
            <w:vAlign w:val="bottom"/>
            <w:tcBorders>
              <w:top w:val="single" w:sz="8" w:color="auto"/>
              <w:bottom w:val="single" w:sz="8" w:color="auto"/>
            </w:tcBorders>
          </w:tcPr>
          <w:p>
            <w:pPr>
              <w:jc w:val="right"/>
              <w:ind w:right="1"/>
              <w:spacing w:after="0"/>
              <w:rPr>
                <w:sz w:val="20"/>
                <w:szCs w:val="20"/>
                <w:color w:val="auto"/>
              </w:rPr>
            </w:pPr>
            <w:r>
              <w:rPr>
                <w:rFonts w:ascii="Arial" w:cs="Arial" w:eastAsia="Arial" w:hAnsi="Arial"/>
                <w:sz w:val="20"/>
                <w:szCs w:val="20"/>
                <w:color w:val="auto"/>
              </w:rPr>
              <w:t>396,697,350</w:t>
            </w:r>
          </w:p>
        </w:tc>
        <w:tc>
          <w:tcPr>
            <w:tcW w:w="120" w:type="dxa"/>
            <w:vAlign w:val="bottom"/>
          </w:tcPr>
          <w:p>
            <w:pPr>
              <w:spacing w:after="0"/>
              <w:rPr>
                <w:sz w:val="23"/>
                <w:szCs w:val="23"/>
                <w:color w:val="auto"/>
              </w:rPr>
            </w:pPr>
          </w:p>
        </w:tc>
        <w:tc>
          <w:tcPr>
            <w:tcW w:w="280" w:type="dxa"/>
            <w:vAlign w:val="bottom"/>
            <w:tcBorders>
              <w:top w:val="single" w:sz="8" w:color="auto"/>
              <w:bottom w:val="single" w:sz="8" w:color="auto"/>
            </w:tcBorders>
          </w:tcPr>
          <w:p>
            <w:pPr>
              <w:jc w:val="right"/>
              <w:ind w:right="61"/>
              <w:spacing w:after="0"/>
              <w:rPr>
                <w:sz w:val="20"/>
                <w:szCs w:val="20"/>
                <w:color w:val="auto"/>
              </w:rPr>
            </w:pPr>
            <w:r>
              <w:rPr>
                <w:rFonts w:ascii="Arial" w:cs="Arial" w:eastAsia="Arial" w:hAnsi="Arial"/>
                <w:sz w:val="20"/>
                <w:szCs w:val="20"/>
                <w:color w:val="auto"/>
                <w:w w:val="89"/>
              </w:rPr>
              <w:t>$</w:t>
            </w:r>
          </w:p>
        </w:tc>
        <w:tc>
          <w:tcPr>
            <w:tcW w:w="1260" w:type="dxa"/>
            <w:vAlign w:val="bottom"/>
            <w:tcBorders>
              <w:top w:val="single" w:sz="8" w:color="auto"/>
              <w:bottom w:val="single" w:sz="8" w:color="auto"/>
            </w:tcBorders>
          </w:tcPr>
          <w:p>
            <w:pPr>
              <w:ind w:left="980"/>
              <w:spacing w:after="0"/>
              <w:rPr>
                <w:sz w:val="20"/>
                <w:szCs w:val="20"/>
                <w:color w:val="auto"/>
              </w:rPr>
            </w:pPr>
            <w:r>
              <w:rPr>
                <w:rFonts w:ascii="Arial" w:cs="Arial" w:eastAsia="Arial" w:hAnsi="Arial"/>
                <w:sz w:val="20"/>
                <w:szCs w:val="20"/>
                <w:color w:val="auto"/>
              </w:rPr>
              <w:t>—</w:t>
            </w:r>
          </w:p>
        </w:tc>
        <w:tc>
          <w:tcPr>
            <w:tcW w:w="120" w:type="dxa"/>
            <w:vAlign w:val="bottom"/>
          </w:tcPr>
          <w:p>
            <w:pPr>
              <w:spacing w:after="0"/>
              <w:rPr>
                <w:sz w:val="23"/>
                <w:szCs w:val="23"/>
                <w:color w:val="auto"/>
              </w:rPr>
            </w:pPr>
          </w:p>
        </w:tc>
        <w:tc>
          <w:tcPr>
            <w:tcW w:w="20" w:type="dxa"/>
            <w:vAlign w:val="bottom"/>
            <w:tcBorders>
              <w:top w:val="single" w:sz="8" w:color="auto"/>
              <w:bottom w:val="single" w:sz="8" w:color="auto"/>
            </w:tcBorders>
          </w:tcPr>
          <w:p>
            <w:pPr>
              <w:spacing w:after="0"/>
              <w:rPr>
                <w:sz w:val="23"/>
                <w:szCs w:val="23"/>
                <w:color w:val="auto"/>
              </w:rPr>
            </w:pPr>
          </w:p>
        </w:tc>
        <w:tc>
          <w:tcPr>
            <w:tcW w:w="300" w:type="dxa"/>
            <w:vAlign w:val="bottom"/>
            <w:tcBorders>
              <w:top w:val="single" w:sz="8" w:color="auto"/>
              <w:bottom w:val="single" w:sz="8" w:color="auto"/>
            </w:tcBorders>
          </w:tcPr>
          <w:p>
            <w:pPr>
              <w:jc w:val="right"/>
              <w:ind w:right="101"/>
              <w:spacing w:after="0"/>
              <w:rPr>
                <w:sz w:val="20"/>
                <w:szCs w:val="20"/>
                <w:color w:val="auto"/>
              </w:rPr>
            </w:pPr>
            <w:r>
              <w:rPr>
                <w:rFonts w:ascii="Arial" w:cs="Arial" w:eastAsia="Arial" w:hAnsi="Arial"/>
                <w:sz w:val="20"/>
                <w:szCs w:val="20"/>
                <w:color w:val="auto"/>
                <w:w w:val="71"/>
              </w:rPr>
              <w:t>$</w:t>
            </w:r>
          </w:p>
        </w:tc>
        <w:tc>
          <w:tcPr>
            <w:tcW w:w="1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20"/>
                <w:szCs w:val="20"/>
                <w:color w:val="auto"/>
              </w:rPr>
              <w:t>1,032,558,858</w:t>
            </w:r>
          </w:p>
        </w:tc>
      </w:tr>
      <w:tr>
        <w:trPr>
          <w:trHeight w:val="20"/>
        </w:trPr>
        <w:tc>
          <w:tcPr>
            <w:tcW w:w="45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bl>
    <w:p>
      <w:pPr>
        <w:spacing w:after="0" w:line="139"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448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700" w:type="dxa"/>
            <w:vAlign w:val="bottom"/>
            <w:gridSpan w:val="4"/>
          </w:tcPr>
          <w:p>
            <w:pPr>
              <w:ind w:left="100"/>
              <w:spacing w:after="0"/>
              <w:rPr>
                <w:sz w:val="20"/>
                <w:szCs w:val="20"/>
                <w:color w:val="auto"/>
              </w:rPr>
            </w:pPr>
            <w:r>
              <w:rPr>
                <w:rFonts w:ascii="Arial" w:cs="Arial" w:eastAsia="Arial" w:hAnsi="Arial"/>
                <w:sz w:val="20"/>
                <w:szCs w:val="20"/>
                <w:b w:val="1"/>
                <w:bCs w:val="1"/>
                <w:color w:val="auto"/>
                <w:w w:val="87"/>
              </w:rPr>
              <w:t>December 31, 2018</w:t>
            </w:r>
          </w:p>
        </w:tc>
        <w:tc>
          <w:tcPr>
            <w:tcW w:w="380" w:type="dxa"/>
            <w:vAlign w:val="bottom"/>
          </w:tcPr>
          <w:p>
            <w:pPr>
              <w:spacing w:after="0"/>
              <w:rPr>
                <w:sz w:val="22"/>
                <w:szCs w:val="22"/>
                <w:color w:val="auto"/>
              </w:rPr>
            </w:pPr>
          </w:p>
        </w:tc>
        <w:tc>
          <w:tcPr>
            <w:tcW w:w="1360" w:type="dxa"/>
            <w:vAlign w:val="bottom"/>
          </w:tcPr>
          <w:p>
            <w:pPr>
              <w:spacing w:after="0"/>
              <w:rPr>
                <w:sz w:val="22"/>
                <w:szCs w:val="22"/>
                <w:color w:val="auto"/>
              </w:rPr>
            </w:pPr>
          </w:p>
        </w:tc>
      </w:tr>
      <w:tr>
        <w:trPr>
          <w:trHeight w:val="23"/>
        </w:trPr>
        <w:tc>
          <w:tcPr>
            <w:tcW w:w="44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gridSpan w:val="3"/>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54"/>
        </w:trPr>
        <w:tc>
          <w:tcPr>
            <w:tcW w:w="448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360" w:type="dxa"/>
            <w:vAlign w:val="bottom"/>
            <w:gridSpan w:val="2"/>
          </w:tcPr>
          <w:p>
            <w:pPr>
              <w:ind w:left="180"/>
              <w:spacing w:after="0"/>
              <w:rPr>
                <w:sz w:val="20"/>
                <w:szCs w:val="20"/>
                <w:color w:val="auto"/>
              </w:rPr>
            </w:pPr>
            <w:r>
              <w:rPr>
                <w:rFonts w:ascii="Arial" w:cs="Arial" w:eastAsia="Arial" w:hAnsi="Arial"/>
                <w:sz w:val="20"/>
                <w:szCs w:val="20"/>
                <w:b w:val="1"/>
                <w:bCs w:val="1"/>
                <w:color w:val="auto"/>
              </w:rPr>
              <w:t>Level I</w:t>
            </w:r>
          </w:p>
        </w:tc>
        <w:tc>
          <w:tcPr>
            <w:tcW w:w="300" w:type="dxa"/>
            <w:vAlign w:val="bottom"/>
          </w:tcPr>
          <w:p>
            <w:pPr>
              <w:spacing w:after="0"/>
              <w:rPr>
                <w:sz w:val="22"/>
                <w:szCs w:val="22"/>
                <w:color w:val="auto"/>
              </w:rPr>
            </w:pPr>
          </w:p>
        </w:tc>
        <w:tc>
          <w:tcPr>
            <w:tcW w:w="1400" w:type="dxa"/>
            <w:vAlign w:val="bottom"/>
            <w:gridSpan w:val="3"/>
          </w:tcPr>
          <w:p>
            <w:pPr>
              <w:ind w:left="160"/>
              <w:spacing w:after="0"/>
              <w:rPr>
                <w:sz w:val="20"/>
                <w:szCs w:val="20"/>
                <w:color w:val="auto"/>
              </w:rPr>
            </w:pPr>
            <w:r>
              <w:rPr>
                <w:rFonts w:ascii="Arial" w:cs="Arial" w:eastAsia="Arial" w:hAnsi="Arial"/>
                <w:sz w:val="20"/>
                <w:szCs w:val="20"/>
                <w:b w:val="1"/>
                <w:bCs w:val="1"/>
                <w:color w:val="auto"/>
              </w:rPr>
              <w:t>Level II</w:t>
            </w:r>
          </w:p>
        </w:tc>
        <w:tc>
          <w:tcPr>
            <w:tcW w:w="380" w:type="dxa"/>
            <w:vAlign w:val="bottom"/>
          </w:tcPr>
          <w:p>
            <w:pPr>
              <w:spacing w:after="0"/>
              <w:rPr>
                <w:sz w:val="22"/>
                <w:szCs w:val="22"/>
                <w:color w:val="auto"/>
              </w:rPr>
            </w:pPr>
          </w:p>
        </w:tc>
        <w:tc>
          <w:tcPr>
            <w:tcW w:w="1360" w:type="dxa"/>
            <w:vAlign w:val="bottom"/>
          </w:tcPr>
          <w:p>
            <w:pPr>
              <w:jc w:val="right"/>
              <w:ind w:right="561"/>
              <w:spacing w:after="0"/>
              <w:rPr>
                <w:sz w:val="20"/>
                <w:szCs w:val="20"/>
                <w:color w:val="auto"/>
              </w:rPr>
            </w:pPr>
            <w:r>
              <w:rPr>
                <w:rFonts w:ascii="Arial" w:cs="Arial" w:eastAsia="Arial" w:hAnsi="Arial"/>
                <w:sz w:val="20"/>
                <w:szCs w:val="20"/>
                <w:b w:val="1"/>
                <w:bCs w:val="1"/>
                <w:color w:val="auto"/>
              </w:rPr>
              <w:t>Total</w:t>
            </w:r>
          </w:p>
        </w:tc>
      </w:tr>
      <w:tr>
        <w:trPr>
          <w:trHeight w:val="23"/>
        </w:trPr>
        <w:tc>
          <w:tcPr>
            <w:tcW w:w="44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63"/>
        </w:trPr>
        <w:tc>
          <w:tcPr>
            <w:tcW w:w="4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0"/>
                <w:szCs w:val="20"/>
                <w:color w:val="auto"/>
              </w:rPr>
              <w:t>Registered investment companies</w:t>
            </w:r>
          </w:p>
        </w:tc>
        <w:tc>
          <w:tcPr>
            <w:tcW w:w="32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rPr>
              <w:t>$</w:t>
            </w:r>
          </w:p>
        </w:tc>
        <w:tc>
          <w:tcPr>
            <w:tcW w:w="12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321,688,099</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w:t>
            </w:r>
          </w:p>
        </w:tc>
        <w:tc>
          <w:tcPr>
            <w:tcW w:w="1400" w:type="dxa"/>
            <w:vAlign w:val="bottom"/>
            <w:tcBorders>
              <w:bottom w:val="single" w:sz="8" w:color="CCEEFF"/>
            </w:tcBorders>
            <w:gridSpan w:val="3"/>
            <w:shd w:val="clear" w:color="auto" w:fill="CCEEFF"/>
          </w:tcPr>
          <w:p>
            <w:pPr>
              <w:jc w:val="right"/>
              <w:ind w:right="220"/>
              <w:spacing w:after="0"/>
              <w:rPr>
                <w:sz w:val="20"/>
                <w:szCs w:val="20"/>
                <w:color w:val="auto"/>
              </w:rPr>
            </w:pPr>
            <w:r>
              <w:rPr>
                <w:rFonts w:ascii="Arial" w:cs="Arial" w:eastAsia="Arial" w:hAnsi="Arial"/>
                <w:sz w:val="20"/>
                <w:szCs w:val="20"/>
                <w:color w:val="auto"/>
              </w:rPr>
              <w:t>—</w:t>
            </w:r>
          </w:p>
        </w:tc>
        <w:tc>
          <w:tcPr>
            <w:tcW w:w="380" w:type="dxa"/>
            <w:vAlign w:val="bottom"/>
            <w:tcBorders>
              <w:bottom w:val="single" w:sz="8" w:color="CCEEFF"/>
            </w:tcBorders>
            <w:shd w:val="clear" w:color="auto" w:fill="CCEEFF"/>
          </w:tcPr>
          <w:p>
            <w:pPr>
              <w:jc w:val="right"/>
              <w:ind w:right="181"/>
              <w:spacing w:after="0"/>
              <w:rPr>
                <w:sz w:val="20"/>
                <w:szCs w:val="20"/>
                <w:color w:val="auto"/>
              </w:rPr>
            </w:pPr>
            <w:r>
              <w:rPr>
                <w:rFonts w:ascii="Arial" w:cs="Arial" w:eastAsia="Arial" w:hAnsi="Arial"/>
                <w:sz w:val="20"/>
                <w:szCs w:val="20"/>
                <w:color w:val="auto"/>
                <w:w w:val="71"/>
              </w:rPr>
              <w:t>$</w:t>
            </w:r>
          </w:p>
        </w:tc>
        <w:tc>
          <w:tcPr>
            <w:tcW w:w="13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321,688,099</w:t>
            </w:r>
          </w:p>
        </w:tc>
      </w:tr>
      <w:tr>
        <w:trPr>
          <w:trHeight w:val="260"/>
        </w:trPr>
        <w:tc>
          <w:tcPr>
            <w:tcW w:w="4480" w:type="dxa"/>
            <w:vAlign w:val="bottom"/>
          </w:tcPr>
          <w:p>
            <w:pPr>
              <w:ind w:left="40"/>
              <w:spacing w:after="0"/>
              <w:rPr>
                <w:sz w:val="20"/>
                <w:szCs w:val="20"/>
                <w:color w:val="auto"/>
              </w:rPr>
            </w:pPr>
            <w:r>
              <w:rPr>
                <w:rFonts w:ascii="Arial" w:cs="Arial" w:eastAsia="Arial" w:hAnsi="Arial"/>
                <w:sz w:val="20"/>
                <w:szCs w:val="20"/>
                <w:color w:val="auto"/>
              </w:rPr>
              <w:t>Common and collective trusts(a)(b)</w:t>
            </w:r>
          </w:p>
        </w:tc>
        <w:tc>
          <w:tcPr>
            <w:tcW w:w="320" w:type="dxa"/>
            <w:vAlign w:val="bottom"/>
          </w:tcPr>
          <w:p>
            <w:pPr>
              <w:spacing w:after="0"/>
              <w:rPr>
                <w:sz w:val="22"/>
                <w:szCs w:val="22"/>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20"/>
                <w:szCs w:val="20"/>
                <w:color w:val="auto"/>
              </w:rPr>
              <w:t>—</w:t>
            </w:r>
          </w:p>
        </w:tc>
        <w:tc>
          <w:tcPr>
            <w:tcW w:w="300" w:type="dxa"/>
            <w:vAlign w:val="bottom"/>
          </w:tcPr>
          <w:p>
            <w:pPr>
              <w:spacing w:after="0"/>
              <w:rPr>
                <w:sz w:val="22"/>
                <w:szCs w:val="22"/>
                <w:color w:val="auto"/>
              </w:rPr>
            </w:pPr>
          </w:p>
        </w:tc>
        <w:tc>
          <w:tcPr>
            <w:tcW w:w="1400" w:type="dxa"/>
            <w:vAlign w:val="bottom"/>
            <w:gridSpan w:val="3"/>
          </w:tcPr>
          <w:p>
            <w:pPr>
              <w:jc w:val="right"/>
              <w:ind w:right="220"/>
              <w:spacing w:after="0"/>
              <w:rPr>
                <w:sz w:val="20"/>
                <w:szCs w:val="20"/>
                <w:color w:val="auto"/>
              </w:rPr>
            </w:pPr>
            <w:r>
              <w:rPr>
                <w:rFonts w:ascii="Arial" w:cs="Arial" w:eastAsia="Arial" w:hAnsi="Arial"/>
                <w:sz w:val="20"/>
                <w:szCs w:val="20"/>
                <w:color w:val="auto"/>
              </w:rPr>
              <w:t>—</w:t>
            </w:r>
          </w:p>
        </w:tc>
        <w:tc>
          <w:tcPr>
            <w:tcW w:w="380" w:type="dxa"/>
            <w:vAlign w:val="bottom"/>
          </w:tcPr>
          <w:p>
            <w:pPr>
              <w:spacing w:after="0"/>
              <w:rPr>
                <w:sz w:val="22"/>
                <w:szCs w:val="22"/>
                <w:color w:val="auto"/>
              </w:rPr>
            </w:pPr>
          </w:p>
        </w:tc>
        <w:tc>
          <w:tcPr>
            <w:tcW w:w="1360" w:type="dxa"/>
            <w:vAlign w:val="bottom"/>
          </w:tcPr>
          <w:p>
            <w:pPr>
              <w:jc w:val="right"/>
              <w:ind w:right="1"/>
              <w:spacing w:after="0"/>
              <w:rPr>
                <w:sz w:val="20"/>
                <w:szCs w:val="20"/>
                <w:color w:val="auto"/>
              </w:rPr>
            </w:pPr>
            <w:r>
              <w:rPr>
                <w:rFonts w:ascii="Arial" w:cs="Arial" w:eastAsia="Arial" w:hAnsi="Arial"/>
                <w:sz w:val="20"/>
                <w:szCs w:val="20"/>
                <w:color w:val="auto"/>
              </w:rPr>
              <w:t>519,517,499</w:t>
            </w:r>
          </w:p>
        </w:tc>
      </w:tr>
      <w:tr>
        <w:trPr>
          <w:trHeight w:val="23"/>
        </w:trPr>
        <w:tc>
          <w:tcPr>
            <w:tcW w:w="44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83"/>
        </w:trPr>
        <w:tc>
          <w:tcPr>
            <w:tcW w:w="4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0"/>
                <w:szCs w:val="20"/>
                <w:color w:val="auto"/>
              </w:rPr>
              <w:t>Company Stock Fund</w:t>
            </w:r>
          </w:p>
        </w:tc>
        <w:tc>
          <w:tcPr>
            <w:tcW w:w="320" w:type="dxa"/>
            <w:vAlign w:val="bottom"/>
            <w:tcBorders>
              <w:bottom w:val="single" w:sz="8" w:color="CCEEFF"/>
            </w:tcBorders>
            <w:shd w:val="clear" w:color="auto" w:fill="CCEEFF"/>
          </w:tcPr>
          <w:p>
            <w:pPr>
              <w:spacing w:after="0"/>
              <w:rPr>
                <w:sz w:val="24"/>
                <w:szCs w:val="24"/>
                <w:color w:val="auto"/>
              </w:rPr>
            </w:pPr>
          </w:p>
        </w:tc>
        <w:tc>
          <w:tcPr>
            <w:tcW w:w="13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20"/>
                <w:szCs w:val="20"/>
                <w:color w:val="auto"/>
              </w:rPr>
              <w:t>—</w:t>
            </w:r>
          </w:p>
        </w:tc>
        <w:tc>
          <w:tcPr>
            <w:tcW w:w="30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rPr>
              <w:t>28,981,430</w:t>
            </w:r>
          </w:p>
        </w:tc>
        <w:tc>
          <w:tcPr>
            <w:tcW w:w="120" w:type="dxa"/>
            <w:vAlign w:val="bottom"/>
            <w:tcBorders>
              <w:bottom w:val="single" w:sz="8" w:color="CCEEFF"/>
            </w:tcBorders>
            <w:shd w:val="clear" w:color="auto" w:fill="CCEEFF"/>
          </w:tcPr>
          <w:p>
            <w:pPr>
              <w:spacing w:after="0"/>
              <w:rPr>
                <w:sz w:val="24"/>
                <w:szCs w:val="24"/>
                <w:color w:val="auto"/>
              </w:rPr>
            </w:pPr>
          </w:p>
        </w:tc>
        <w:tc>
          <w:tcPr>
            <w:tcW w:w="20" w:type="dxa"/>
            <w:vAlign w:val="bottom"/>
            <w:tcBorders>
              <w:bottom w:val="single" w:sz="8" w:color="CCEEFF"/>
            </w:tcBorders>
            <w:shd w:val="clear" w:color="auto" w:fill="CCEEFF"/>
          </w:tcPr>
          <w:p>
            <w:pPr>
              <w:spacing w:after="0"/>
              <w:rPr>
                <w:sz w:val="24"/>
                <w:szCs w:val="24"/>
                <w:color w:val="auto"/>
              </w:rPr>
            </w:pPr>
          </w:p>
        </w:tc>
        <w:tc>
          <w:tcPr>
            <w:tcW w:w="380" w:type="dxa"/>
            <w:vAlign w:val="bottom"/>
            <w:tcBorders>
              <w:bottom w:val="single" w:sz="8" w:color="CCEEFF"/>
            </w:tcBorders>
            <w:shd w:val="clear" w:color="auto" w:fill="CCEEFF"/>
          </w:tcPr>
          <w:p>
            <w:pPr>
              <w:spacing w:after="0"/>
              <w:rPr>
                <w:sz w:val="24"/>
                <w:szCs w:val="24"/>
                <w:color w:val="auto"/>
              </w:rPr>
            </w:pPr>
          </w:p>
        </w:tc>
        <w:tc>
          <w:tcPr>
            <w:tcW w:w="13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28,981,430</w:t>
            </w:r>
          </w:p>
        </w:tc>
      </w:tr>
      <w:tr>
        <w:trPr>
          <w:trHeight w:val="272"/>
        </w:trPr>
        <w:tc>
          <w:tcPr>
            <w:tcW w:w="4480" w:type="dxa"/>
            <w:vAlign w:val="bottom"/>
          </w:tcPr>
          <w:p>
            <w:pPr>
              <w:ind w:left="40"/>
              <w:spacing w:after="0"/>
              <w:rPr>
                <w:sz w:val="20"/>
                <w:szCs w:val="20"/>
                <w:color w:val="auto"/>
              </w:rPr>
            </w:pPr>
            <w:r>
              <w:rPr>
                <w:rFonts w:ascii="Arial" w:cs="Arial" w:eastAsia="Arial" w:hAnsi="Arial"/>
                <w:sz w:val="20"/>
                <w:szCs w:val="20"/>
                <w:color w:val="auto"/>
              </w:rPr>
              <w:t>Total investments</w:t>
            </w:r>
          </w:p>
        </w:tc>
        <w:tc>
          <w:tcPr>
            <w:tcW w:w="320" w:type="dxa"/>
            <w:vAlign w:val="bottom"/>
            <w:tcBorders>
              <w:top w:val="single" w:sz="8" w:color="auto"/>
              <w:bottom w:val="single" w:sz="8" w:color="auto"/>
            </w:tcBorders>
          </w:tcPr>
          <w:p>
            <w:pPr>
              <w:jc w:val="right"/>
              <w:ind w:right="81"/>
              <w:spacing w:after="0"/>
              <w:rPr>
                <w:sz w:val="20"/>
                <w:szCs w:val="20"/>
                <w:color w:val="auto"/>
              </w:rPr>
            </w:pPr>
            <w:r>
              <w:rPr>
                <w:rFonts w:ascii="Arial" w:cs="Arial" w:eastAsia="Arial" w:hAnsi="Arial"/>
                <w:sz w:val="20"/>
                <w:szCs w:val="20"/>
                <w:color w:val="auto"/>
              </w:rPr>
              <w:t>$</w:t>
            </w:r>
          </w:p>
        </w:tc>
        <w:tc>
          <w:tcPr>
            <w:tcW w:w="1260" w:type="dxa"/>
            <w:vAlign w:val="bottom"/>
            <w:tcBorders>
              <w:top w:val="single" w:sz="8" w:color="auto"/>
              <w:bottom w:val="single" w:sz="8" w:color="auto"/>
            </w:tcBorders>
          </w:tcPr>
          <w:p>
            <w:pPr>
              <w:jc w:val="right"/>
              <w:ind w:right="1"/>
              <w:spacing w:after="0"/>
              <w:rPr>
                <w:sz w:val="20"/>
                <w:szCs w:val="20"/>
                <w:color w:val="auto"/>
              </w:rPr>
            </w:pPr>
            <w:r>
              <w:rPr>
                <w:rFonts w:ascii="Arial" w:cs="Arial" w:eastAsia="Arial" w:hAnsi="Arial"/>
                <w:sz w:val="20"/>
                <w:szCs w:val="20"/>
                <w:color w:val="auto"/>
              </w:rPr>
              <w:t>321,688,099</w:t>
            </w:r>
          </w:p>
        </w:tc>
        <w:tc>
          <w:tcPr>
            <w:tcW w:w="100" w:type="dxa"/>
            <w:vAlign w:val="bottom"/>
          </w:tcPr>
          <w:p>
            <w:pPr>
              <w:spacing w:after="0"/>
              <w:rPr>
                <w:sz w:val="23"/>
                <w:szCs w:val="23"/>
                <w:color w:val="auto"/>
              </w:rPr>
            </w:pPr>
          </w:p>
        </w:tc>
        <w:tc>
          <w:tcPr>
            <w:tcW w:w="300" w:type="dxa"/>
            <w:vAlign w:val="bottom"/>
            <w:tcBorders>
              <w:top w:val="single" w:sz="8" w:color="auto"/>
              <w:bottom w:val="single" w:sz="8" w:color="auto"/>
            </w:tcBorders>
          </w:tcPr>
          <w:p>
            <w:pPr>
              <w:jc w:val="right"/>
              <w:ind w:right="61"/>
              <w:spacing w:after="0"/>
              <w:rPr>
                <w:sz w:val="20"/>
                <w:szCs w:val="20"/>
                <w:color w:val="auto"/>
              </w:rPr>
            </w:pPr>
            <w:r>
              <w:rPr>
                <w:rFonts w:ascii="Arial" w:cs="Arial" w:eastAsia="Arial" w:hAnsi="Arial"/>
                <w:sz w:val="20"/>
                <w:szCs w:val="20"/>
                <w:color w:val="auto"/>
              </w:rPr>
              <w:t>$</w:t>
            </w: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20"/>
                <w:szCs w:val="20"/>
                <w:color w:val="auto"/>
              </w:rPr>
              <w:t>28,981,430</w:t>
            </w:r>
          </w:p>
        </w:tc>
        <w:tc>
          <w:tcPr>
            <w:tcW w:w="120" w:type="dxa"/>
            <w:vAlign w:val="bottom"/>
          </w:tcPr>
          <w:p>
            <w:pPr>
              <w:spacing w:after="0"/>
              <w:rPr>
                <w:sz w:val="23"/>
                <w:szCs w:val="23"/>
                <w:color w:val="auto"/>
              </w:rPr>
            </w:pPr>
          </w:p>
        </w:tc>
        <w:tc>
          <w:tcPr>
            <w:tcW w:w="20" w:type="dxa"/>
            <w:vAlign w:val="bottom"/>
            <w:tcBorders>
              <w:top w:val="single" w:sz="8" w:color="auto"/>
              <w:bottom w:val="single" w:sz="8" w:color="auto"/>
            </w:tcBorders>
          </w:tcPr>
          <w:p>
            <w:pPr>
              <w:spacing w:after="0"/>
              <w:rPr>
                <w:sz w:val="23"/>
                <w:szCs w:val="23"/>
                <w:color w:val="auto"/>
              </w:rPr>
            </w:pPr>
          </w:p>
        </w:tc>
        <w:tc>
          <w:tcPr>
            <w:tcW w:w="380" w:type="dxa"/>
            <w:vAlign w:val="bottom"/>
            <w:tcBorders>
              <w:top w:val="single" w:sz="8" w:color="auto"/>
              <w:bottom w:val="single" w:sz="8" w:color="auto"/>
            </w:tcBorders>
          </w:tcPr>
          <w:p>
            <w:pPr>
              <w:jc w:val="right"/>
              <w:ind w:right="181"/>
              <w:spacing w:after="0"/>
              <w:rPr>
                <w:sz w:val="20"/>
                <w:szCs w:val="20"/>
                <w:color w:val="auto"/>
              </w:rPr>
            </w:pPr>
            <w:r>
              <w:rPr>
                <w:rFonts w:ascii="Arial" w:cs="Arial" w:eastAsia="Arial" w:hAnsi="Arial"/>
                <w:sz w:val="20"/>
                <w:szCs w:val="20"/>
                <w:color w:val="auto"/>
                <w:w w:val="71"/>
              </w:rPr>
              <w:t>$</w:t>
            </w:r>
          </w:p>
        </w:tc>
        <w:tc>
          <w:tcPr>
            <w:tcW w:w="1360" w:type="dxa"/>
            <w:vAlign w:val="bottom"/>
            <w:tcBorders>
              <w:top w:val="single" w:sz="8" w:color="auto"/>
              <w:bottom w:val="single" w:sz="8" w:color="auto"/>
            </w:tcBorders>
          </w:tcPr>
          <w:p>
            <w:pPr>
              <w:jc w:val="right"/>
              <w:ind w:right="1"/>
              <w:spacing w:after="0"/>
              <w:rPr>
                <w:sz w:val="20"/>
                <w:szCs w:val="20"/>
                <w:color w:val="auto"/>
              </w:rPr>
            </w:pPr>
            <w:r>
              <w:rPr>
                <w:rFonts w:ascii="Arial" w:cs="Arial" w:eastAsia="Arial" w:hAnsi="Arial"/>
                <w:sz w:val="20"/>
                <w:szCs w:val="20"/>
                <w:color w:val="auto"/>
              </w:rPr>
              <w:t>870,187,028</w:t>
            </w:r>
          </w:p>
        </w:tc>
      </w:tr>
      <w:tr>
        <w:trPr>
          <w:trHeight w:val="20"/>
        </w:trPr>
        <w:tc>
          <w:tcPr>
            <w:tcW w:w="44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bl>
    <w:p>
      <w:pPr>
        <w:spacing w:after="0" w:line="199" w:lineRule="exact"/>
        <w:rPr>
          <w:sz w:val="20"/>
          <w:szCs w:val="20"/>
          <w:color w:val="auto"/>
        </w:rPr>
      </w:pPr>
    </w:p>
    <w:p>
      <w:pPr>
        <w:ind w:left="660" w:hanging="328"/>
        <w:spacing w:after="0"/>
        <w:tabs>
          <w:tab w:leader="none" w:pos="660" w:val="left"/>
        </w:tabs>
        <w:numPr>
          <w:ilvl w:val="0"/>
          <w:numId w:val="9"/>
        </w:numPr>
        <w:rPr>
          <w:rFonts w:ascii="Arial" w:cs="Arial" w:eastAsia="Arial" w:hAnsi="Arial"/>
          <w:sz w:val="20"/>
          <w:szCs w:val="20"/>
          <w:color w:val="auto"/>
        </w:rPr>
      </w:pPr>
      <w:r>
        <w:rPr>
          <w:rFonts w:ascii="Arial" w:cs="Arial" w:eastAsia="Arial" w:hAnsi="Arial"/>
          <w:sz w:val="20"/>
          <w:szCs w:val="20"/>
          <w:color w:val="auto"/>
        </w:rPr>
        <w:t>The fair values of the investments have been estimated using the NAV (or an equivalent) expedient.</w:t>
      </w:r>
    </w:p>
    <w:p>
      <w:pPr>
        <w:spacing w:after="0" w:line="15" w:lineRule="exact"/>
        <w:rPr>
          <w:rFonts w:ascii="Arial" w:cs="Arial" w:eastAsia="Arial" w:hAnsi="Arial"/>
          <w:sz w:val="20"/>
          <w:szCs w:val="20"/>
          <w:color w:val="auto"/>
        </w:rPr>
      </w:pPr>
    </w:p>
    <w:p>
      <w:pPr>
        <w:ind w:left="660" w:hanging="328"/>
        <w:spacing w:after="0"/>
        <w:tabs>
          <w:tab w:leader="none" w:pos="660" w:val="left"/>
        </w:tabs>
        <w:numPr>
          <w:ilvl w:val="0"/>
          <w:numId w:val="9"/>
        </w:numPr>
        <w:rPr>
          <w:rFonts w:ascii="Arial" w:cs="Arial" w:eastAsia="Arial" w:hAnsi="Arial"/>
          <w:sz w:val="20"/>
          <w:szCs w:val="20"/>
          <w:color w:val="auto"/>
        </w:rPr>
      </w:pPr>
      <w:r>
        <w:rPr>
          <w:rFonts w:ascii="Arial" w:cs="Arial" w:eastAsia="Arial" w:hAnsi="Arial"/>
          <w:sz w:val="20"/>
          <w:szCs w:val="20"/>
          <w:color w:val="auto"/>
        </w:rPr>
        <w:t>Common and collective trusts, further outlined in Note 3.</w:t>
      </w:r>
    </w:p>
    <w:p>
      <w:pPr>
        <w:spacing w:after="0" w:line="2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40"/>
          </w:cols>
          <w:pgMar w:left="320" w:top="117" w:right="339" w:bottom="1440" w:gutter="0" w:footer="0" w:header="0"/>
        </w:sectPr>
      </w:pPr>
    </w:p>
    <w:bookmarkStart w:id="16" w:name="page17"/>
    <w:bookmarkEnd w:id="16"/>
    <w:p>
      <w:pPr>
        <w:spacing w:after="0"/>
        <w:rPr>
          <w:sz w:val="20"/>
          <w:szCs w:val="20"/>
          <w:color w:val="auto"/>
        </w:rPr>
      </w:pPr>
      <w:r>
        <w:rPr>
          <w:rFonts w:ascii="Arial" w:cs="Arial" w:eastAsia="Arial" w:hAnsi="Arial"/>
          <w:sz w:val="25"/>
          <w:szCs w:val="25"/>
          <w:b w:val="1"/>
          <w:bCs w:val="1"/>
          <w:color w:val="auto"/>
        </w:rPr>
        <w:t>FLOWSERVE CORPORATION</w:t>
      </w:r>
    </w:p>
    <w:p>
      <w:pPr>
        <w:spacing w:after="0" w:line="38"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RETIREMENT SAVINGS PLAN</w:t>
      </w:r>
    </w:p>
    <w:p>
      <w:pPr>
        <w:spacing w:after="0" w:line="373" w:lineRule="exact"/>
        <w:rPr>
          <w:sz w:val="20"/>
          <w:szCs w:val="20"/>
          <w:color w:val="auto"/>
        </w:rPr>
      </w:pPr>
    </w:p>
    <w:p>
      <w:pPr>
        <w:ind w:left="60"/>
        <w:spacing w:after="0"/>
        <w:rPr>
          <w:sz w:val="20"/>
          <w:szCs w:val="20"/>
          <w:color w:val="auto"/>
        </w:rPr>
      </w:pPr>
      <w:r>
        <w:rPr>
          <w:rFonts w:ascii="Arial" w:cs="Arial" w:eastAsia="Arial" w:hAnsi="Arial"/>
          <w:sz w:val="20"/>
          <w:szCs w:val="20"/>
          <w:b w:val="1"/>
          <w:bCs w:val="1"/>
          <w:color w:val="auto"/>
        </w:rPr>
        <w:t>NOTES TO FINANCIAL STATEMENTS (CONTINUED)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31115</wp:posOffset>
            </wp:positionV>
            <wp:extent cx="709803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09803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7.  FORM 5500 RECONCILIATION</w:t>
      </w:r>
    </w:p>
    <w:p>
      <w:pPr>
        <w:spacing w:after="0" w:line="222"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is a reconciliation of net assets available for benefits per the accompanying financial statements to the Form 5500 at</w:t>
      </w:r>
    </w:p>
    <w:p>
      <w:pPr>
        <w:spacing w:after="0" w:line="39" w:lineRule="exact"/>
        <w:rPr>
          <w:sz w:val="20"/>
          <w:szCs w:val="20"/>
          <w:color w:val="auto"/>
        </w:rPr>
      </w:pPr>
    </w:p>
    <w:p>
      <w:pPr>
        <w:spacing w:after="0"/>
        <w:rPr>
          <w:sz w:val="20"/>
          <w:szCs w:val="20"/>
          <w:color w:val="auto"/>
        </w:rPr>
      </w:pPr>
      <w:r>
        <w:rPr>
          <w:rFonts w:ascii="Arial" w:cs="Arial" w:eastAsia="Arial" w:hAnsi="Arial"/>
          <w:sz w:val="20"/>
          <w:szCs w:val="20"/>
          <w:color w:val="auto"/>
        </w:rPr>
        <w:t>December 31, 2019 and 2018:</w:t>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78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000" w:type="dxa"/>
            <w:vAlign w:val="bottom"/>
            <w:gridSpan w:val="3"/>
          </w:tcPr>
          <w:p>
            <w:pPr>
              <w:jc w:val="right"/>
              <w:spacing w:after="0"/>
              <w:rPr>
                <w:sz w:val="20"/>
                <w:szCs w:val="20"/>
                <w:color w:val="auto"/>
              </w:rPr>
            </w:pPr>
            <w:r>
              <w:rPr>
                <w:rFonts w:ascii="Arial" w:cs="Arial" w:eastAsia="Arial" w:hAnsi="Arial"/>
                <w:sz w:val="20"/>
                <w:szCs w:val="20"/>
                <w:b w:val="1"/>
                <w:bCs w:val="1"/>
                <w:color w:val="auto"/>
              </w:rPr>
              <w:t>December 31,</w:t>
            </w:r>
          </w:p>
        </w:tc>
        <w:tc>
          <w:tcPr>
            <w:tcW w:w="1100" w:type="dxa"/>
            <w:vAlign w:val="bottom"/>
          </w:tcPr>
          <w:p>
            <w:pPr>
              <w:spacing w:after="0"/>
              <w:rPr>
                <w:sz w:val="22"/>
                <w:szCs w:val="22"/>
                <w:color w:val="auto"/>
              </w:rPr>
            </w:pPr>
          </w:p>
        </w:tc>
      </w:tr>
      <w:tr>
        <w:trPr>
          <w:trHeight w:val="23"/>
        </w:trPr>
        <w:tc>
          <w:tcPr>
            <w:tcW w:w="78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54"/>
        </w:trPr>
        <w:tc>
          <w:tcPr>
            <w:tcW w:w="78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420" w:type="dxa"/>
            <w:vAlign w:val="bottom"/>
          </w:tcPr>
          <w:p>
            <w:pPr>
              <w:jc w:val="right"/>
              <w:ind w:right="561"/>
              <w:spacing w:after="0"/>
              <w:rPr>
                <w:sz w:val="20"/>
                <w:szCs w:val="20"/>
                <w:color w:val="auto"/>
              </w:rPr>
            </w:pPr>
            <w:r>
              <w:rPr>
                <w:rFonts w:ascii="Arial" w:cs="Arial" w:eastAsia="Arial" w:hAnsi="Arial"/>
                <w:sz w:val="20"/>
                <w:szCs w:val="20"/>
                <w:b w:val="1"/>
                <w:bCs w:val="1"/>
                <w:color w:val="auto"/>
              </w:rPr>
              <w:t>2019</w:t>
            </w:r>
          </w:p>
        </w:tc>
        <w:tc>
          <w:tcPr>
            <w:tcW w:w="1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100" w:type="dxa"/>
            <w:vAlign w:val="bottom"/>
          </w:tcPr>
          <w:p>
            <w:pPr>
              <w:jc w:val="right"/>
              <w:ind w:right="501"/>
              <w:spacing w:after="0"/>
              <w:rPr>
                <w:sz w:val="20"/>
                <w:szCs w:val="20"/>
                <w:color w:val="auto"/>
              </w:rPr>
            </w:pPr>
            <w:r>
              <w:rPr>
                <w:rFonts w:ascii="Arial" w:cs="Arial" w:eastAsia="Arial" w:hAnsi="Arial"/>
                <w:sz w:val="20"/>
                <w:szCs w:val="20"/>
                <w:b w:val="1"/>
                <w:bCs w:val="1"/>
                <w:color w:val="auto"/>
              </w:rPr>
              <w:t>2018</w:t>
            </w:r>
          </w:p>
        </w:tc>
      </w:tr>
      <w:tr>
        <w:trPr>
          <w:trHeight w:val="23"/>
        </w:trPr>
        <w:tc>
          <w:tcPr>
            <w:tcW w:w="78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57"/>
        </w:trPr>
        <w:tc>
          <w:tcPr>
            <w:tcW w:w="7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0"/>
                <w:szCs w:val="20"/>
                <w:color w:val="auto"/>
              </w:rPr>
              <w:t>Net assets available for benefits per the financial statements</w:t>
            </w:r>
          </w:p>
        </w:tc>
        <w:tc>
          <w:tcPr>
            <w:tcW w:w="28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4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1,052,706,325</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jc w:val="right"/>
              <w:ind w:right="261"/>
              <w:spacing w:after="0"/>
              <w:rPr>
                <w:sz w:val="20"/>
                <w:szCs w:val="20"/>
                <w:color w:val="auto"/>
              </w:rPr>
            </w:pPr>
            <w:r>
              <w:rPr>
                <w:rFonts w:ascii="Arial" w:cs="Arial" w:eastAsia="Arial" w:hAnsi="Arial"/>
                <w:sz w:val="20"/>
                <w:szCs w:val="20"/>
                <w:color w:val="auto"/>
                <w:w w:val="89"/>
              </w:rPr>
              <w:t>$</w:t>
            </w:r>
          </w:p>
        </w:tc>
        <w:tc>
          <w:tcPr>
            <w:tcW w:w="11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w w:val="88"/>
              </w:rPr>
              <w:t>892,778,151</w:t>
            </w:r>
          </w:p>
        </w:tc>
      </w:tr>
      <w:tr>
        <w:trPr>
          <w:trHeight w:val="240"/>
        </w:trPr>
        <w:tc>
          <w:tcPr>
            <w:tcW w:w="7860" w:type="dxa"/>
            <w:vAlign w:val="bottom"/>
          </w:tcPr>
          <w:p>
            <w:pPr>
              <w:ind w:left="40"/>
              <w:spacing w:after="0"/>
              <w:rPr>
                <w:sz w:val="20"/>
                <w:szCs w:val="20"/>
                <w:color w:val="auto"/>
              </w:rPr>
            </w:pPr>
            <w:r>
              <w:rPr>
                <w:rFonts w:ascii="Arial" w:cs="Arial" w:eastAsia="Arial" w:hAnsi="Arial"/>
                <w:sz w:val="20"/>
                <w:szCs w:val="20"/>
                <w:color w:val="auto"/>
                <w:w w:val="93"/>
              </w:rPr>
              <w:t>Amounts deemed distributions of participant loans as reflected in the Form 5500 for the current</w:t>
            </w:r>
          </w:p>
        </w:tc>
        <w:tc>
          <w:tcPr>
            <w:tcW w:w="2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100" w:type="dxa"/>
            <w:vAlign w:val="bottom"/>
          </w:tcPr>
          <w:p>
            <w:pPr>
              <w:spacing w:after="0"/>
              <w:rPr>
                <w:sz w:val="20"/>
                <w:szCs w:val="20"/>
                <w:color w:val="auto"/>
              </w:rPr>
            </w:pPr>
          </w:p>
        </w:tc>
      </w:tr>
      <w:tr>
        <w:trPr>
          <w:trHeight w:val="250"/>
        </w:trPr>
        <w:tc>
          <w:tcPr>
            <w:tcW w:w="7860" w:type="dxa"/>
            <w:vAlign w:val="bottom"/>
          </w:tcPr>
          <w:p>
            <w:pPr>
              <w:ind w:left="40"/>
              <w:spacing w:after="0"/>
              <w:rPr>
                <w:sz w:val="20"/>
                <w:szCs w:val="20"/>
                <w:color w:val="auto"/>
              </w:rPr>
            </w:pPr>
            <w:r>
              <w:rPr>
                <w:rFonts w:ascii="Arial" w:cs="Arial" w:eastAsia="Arial" w:hAnsi="Arial"/>
                <w:sz w:val="20"/>
                <w:szCs w:val="20"/>
                <w:color w:val="auto"/>
              </w:rPr>
              <w:t>year</w:t>
            </w:r>
          </w:p>
        </w:tc>
        <w:tc>
          <w:tcPr>
            <w:tcW w:w="2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20"/>
                <w:szCs w:val="20"/>
                <w:color w:val="auto"/>
              </w:rPr>
              <w:t>(5,172)</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20"/>
                <w:szCs w:val="20"/>
                <w:color w:val="auto"/>
              </w:rPr>
              <w:t>(138,280)</w:t>
            </w:r>
          </w:p>
        </w:tc>
      </w:tr>
      <w:tr>
        <w:trPr>
          <w:trHeight w:val="23"/>
        </w:trPr>
        <w:tc>
          <w:tcPr>
            <w:tcW w:w="78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40"/>
        </w:trPr>
        <w:tc>
          <w:tcPr>
            <w:tcW w:w="7860" w:type="dxa"/>
            <w:vAlign w:val="bottom"/>
            <w:shd w:val="clear" w:color="auto" w:fill="CCEEFF"/>
          </w:tcPr>
          <w:p>
            <w:pPr>
              <w:ind w:left="40"/>
              <w:spacing w:after="0"/>
              <w:rPr>
                <w:sz w:val="20"/>
                <w:szCs w:val="20"/>
                <w:color w:val="auto"/>
              </w:rPr>
            </w:pPr>
            <w:r>
              <w:rPr>
                <w:rFonts w:ascii="Arial" w:cs="Arial" w:eastAsia="Arial" w:hAnsi="Arial"/>
                <w:sz w:val="20"/>
                <w:szCs w:val="20"/>
                <w:color w:val="auto"/>
                <w:w w:val="97"/>
              </w:rPr>
              <w:t>Amounts deemed distributions of participant loans as reflected in the Form 5500 from prior</w:t>
            </w:r>
          </w:p>
        </w:tc>
        <w:tc>
          <w:tcPr>
            <w:tcW w:w="280" w:type="dxa"/>
            <w:vAlign w:val="bottom"/>
            <w:shd w:val="clear" w:color="auto" w:fill="CCEEFF"/>
          </w:tcPr>
          <w:p>
            <w:pPr>
              <w:spacing w:after="0"/>
              <w:rPr>
                <w:sz w:val="20"/>
                <w:szCs w:val="20"/>
                <w:color w:val="auto"/>
              </w:rPr>
            </w:pPr>
          </w:p>
        </w:tc>
        <w:tc>
          <w:tcPr>
            <w:tcW w:w="14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1100" w:type="dxa"/>
            <w:vAlign w:val="bottom"/>
            <w:shd w:val="clear" w:color="auto" w:fill="CCEEFF"/>
          </w:tcPr>
          <w:p>
            <w:pPr>
              <w:spacing w:after="0"/>
              <w:rPr>
                <w:sz w:val="20"/>
                <w:szCs w:val="20"/>
                <w:color w:val="auto"/>
              </w:rPr>
            </w:pPr>
          </w:p>
        </w:tc>
      </w:tr>
      <w:tr>
        <w:trPr>
          <w:trHeight w:val="273"/>
        </w:trPr>
        <w:tc>
          <w:tcPr>
            <w:tcW w:w="7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0"/>
                <w:szCs w:val="20"/>
                <w:color w:val="auto"/>
              </w:rPr>
              <w:t>years</w:t>
            </w:r>
          </w:p>
        </w:tc>
        <w:tc>
          <w:tcPr>
            <w:tcW w:w="2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rPr>
              <w:t>(260,812)</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rPr>
              <w:t>(204,258)</w:t>
            </w:r>
          </w:p>
        </w:tc>
      </w:tr>
      <w:tr>
        <w:trPr>
          <w:trHeight w:val="272"/>
        </w:trPr>
        <w:tc>
          <w:tcPr>
            <w:tcW w:w="7860" w:type="dxa"/>
            <w:vAlign w:val="bottom"/>
          </w:tcPr>
          <w:p>
            <w:pPr>
              <w:ind w:left="40"/>
              <w:spacing w:after="0"/>
              <w:rPr>
                <w:sz w:val="20"/>
                <w:szCs w:val="20"/>
                <w:color w:val="auto"/>
              </w:rPr>
            </w:pPr>
            <w:r>
              <w:rPr>
                <w:rFonts w:ascii="Arial" w:cs="Arial" w:eastAsia="Arial" w:hAnsi="Arial"/>
                <w:sz w:val="20"/>
                <w:szCs w:val="20"/>
                <w:color w:val="auto"/>
              </w:rPr>
              <w:t>Net assets available for benefits per Form 5500</w:t>
            </w:r>
          </w:p>
        </w:tc>
        <w:tc>
          <w:tcPr>
            <w:tcW w:w="280" w:type="dxa"/>
            <w:vAlign w:val="bottom"/>
            <w:tcBorders>
              <w:top w:val="single" w:sz="8" w:color="auto"/>
              <w:bottom w:val="single" w:sz="8" w:color="auto"/>
            </w:tcBorders>
          </w:tcPr>
          <w:p>
            <w:pPr>
              <w:jc w:val="right"/>
              <w:ind w:right="61"/>
              <w:spacing w:after="0"/>
              <w:rPr>
                <w:sz w:val="20"/>
                <w:szCs w:val="20"/>
                <w:color w:val="auto"/>
              </w:rPr>
            </w:pPr>
            <w:r>
              <w:rPr>
                <w:rFonts w:ascii="Arial" w:cs="Arial" w:eastAsia="Arial" w:hAnsi="Arial"/>
                <w:sz w:val="20"/>
                <w:szCs w:val="20"/>
                <w:color w:val="auto"/>
                <w:w w:val="89"/>
              </w:rPr>
              <w:t>$</w:t>
            </w:r>
          </w:p>
        </w:tc>
        <w:tc>
          <w:tcPr>
            <w:tcW w:w="142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20"/>
                <w:szCs w:val="20"/>
                <w:color w:val="auto"/>
              </w:rPr>
              <w:t>1,052,440,341</w:t>
            </w:r>
          </w:p>
        </w:tc>
        <w:tc>
          <w:tcPr>
            <w:tcW w:w="100" w:type="dxa"/>
            <w:vAlign w:val="bottom"/>
          </w:tcPr>
          <w:p>
            <w:pPr>
              <w:spacing w:after="0"/>
              <w:rPr>
                <w:sz w:val="23"/>
                <w:szCs w:val="23"/>
                <w:color w:val="auto"/>
              </w:rPr>
            </w:pPr>
          </w:p>
        </w:tc>
        <w:tc>
          <w:tcPr>
            <w:tcW w:w="480" w:type="dxa"/>
            <w:vAlign w:val="bottom"/>
            <w:tcBorders>
              <w:top w:val="single" w:sz="8" w:color="auto"/>
              <w:bottom w:val="single" w:sz="8" w:color="auto"/>
            </w:tcBorders>
          </w:tcPr>
          <w:p>
            <w:pPr>
              <w:jc w:val="right"/>
              <w:ind w:right="261"/>
              <w:spacing w:after="0"/>
              <w:rPr>
                <w:sz w:val="20"/>
                <w:szCs w:val="20"/>
                <w:color w:val="auto"/>
              </w:rPr>
            </w:pPr>
            <w:r>
              <w:rPr>
                <w:rFonts w:ascii="Arial" w:cs="Arial" w:eastAsia="Arial" w:hAnsi="Arial"/>
                <w:sz w:val="20"/>
                <w:szCs w:val="20"/>
                <w:color w:val="auto"/>
                <w:w w:val="89"/>
              </w:rPr>
              <w:t>$</w:t>
            </w:r>
          </w:p>
        </w:tc>
        <w:tc>
          <w:tcPr>
            <w:tcW w:w="1100" w:type="dxa"/>
            <w:vAlign w:val="bottom"/>
            <w:tcBorders>
              <w:top w:val="single" w:sz="8" w:color="auto"/>
              <w:bottom w:val="single" w:sz="8" w:color="auto"/>
            </w:tcBorders>
          </w:tcPr>
          <w:p>
            <w:pPr>
              <w:jc w:val="right"/>
              <w:ind w:right="1"/>
              <w:spacing w:after="0"/>
              <w:rPr>
                <w:sz w:val="20"/>
                <w:szCs w:val="20"/>
                <w:color w:val="auto"/>
              </w:rPr>
            </w:pPr>
            <w:r>
              <w:rPr>
                <w:rFonts w:ascii="Arial" w:cs="Arial" w:eastAsia="Arial" w:hAnsi="Arial"/>
                <w:sz w:val="20"/>
                <w:szCs w:val="20"/>
                <w:color w:val="auto"/>
                <w:w w:val="88"/>
              </w:rPr>
              <w:t>892,435,613</w:t>
            </w:r>
          </w:p>
        </w:tc>
      </w:tr>
      <w:tr>
        <w:trPr>
          <w:trHeight w:val="20"/>
        </w:trPr>
        <w:tc>
          <w:tcPr>
            <w:tcW w:w="78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159" w:lineRule="exact"/>
        <w:rPr>
          <w:sz w:val="20"/>
          <w:szCs w:val="20"/>
          <w:color w:val="auto"/>
        </w:rPr>
      </w:pPr>
    </w:p>
    <w:p>
      <w:pPr>
        <w:ind w:right="280" w:firstLine="405"/>
        <w:spacing w:after="0" w:line="260" w:lineRule="auto"/>
        <w:rPr>
          <w:sz w:val="20"/>
          <w:szCs w:val="20"/>
          <w:color w:val="auto"/>
        </w:rPr>
      </w:pPr>
      <w:r>
        <w:rPr>
          <w:rFonts w:ascii="Arial" w:cs="Arial" w:eastAsia="Arial" w:hAnsi="Arial"/>
          <w:sz w:val="20"/>
          <w:szCs w:val="20"/>
          <w:color w:val="auto"/>
        </w:rPr>
        <w:t>The following is a reconciliation of the total increase in net assets available for benefits per the accompanying financial statement for the year ended December 31, 2019 to net income per Form 5500:</w:t>
      </w:r>
    </w:p>
    <w:p>
      <w:pPr>
        <w:spacing w:after="0" w:line="113" w:lineRule="exact"/>
        <w:rPr>
          <w:sz w:val="20"/>
          <w:szCs w:val="20"/>
          <w:color w:val="auto"/>
        </w:rPr>
      </w:pPr>
    </w:p>
    <w:tbl>
      <w:tblPr>
        <w:tblLayout w:type="fixed"/>
        <w:tblInd w:w="0" w:type="dxa"/>
        <w:tblCellMar>
          <w:top w:w="0" w:type="dxa"/>
          <w:left w:w="0" w:type="dxa"/>
          <w:bottom w:w="0" w:type="dxa"/>
          <w:right w:w="0" w:type="dxa"/>
        </w:tblCellMar>
      </w:tblPr>
      <w:tr>
        <w:trPr>
          <w:trHeight w:val="283"/>
        </w:trPr>
        <w:tc>
          <w:tcPr>
            <w:tcW w:w="9660" w:type="dxa"/>
            <w:vAlign w:val="bottom"/>
            <w:shd w:val="clear" w:color="auto" w:fill="CCEEFF"/>
          </w:tcPr>
          <w:p>
            <w:pPr>
              <w:ind w:left="40"/>
              <w:spacing w:after="0"/>
              <w:rPr>
                <w:sz w:val="20"/>
                <w:szCs w:val="20"/>
                <w:color w:val="auto"/>
              </w:rPr>
            </w:pPr>
            <w:r>
              <w:rPr>
                <w:rFonts w:ascii="Arial" w:cs="Arial" w:eastAsia="Arial" w:hAnsi="Arial"/>
                <w:sz w:val="20"/>
                <w:szCs w:val="20"/>
                <w:color w:val="auto"/>
              </w:rPr>
              <w:t>Increase in net assets available for benefits per the financial statements</w:t>
            </w:r>
          </w:p>
        </w:tc>
        <w:tc>
          <w:tcPr>
            <w:tcW w:w="300" w:type="dxa"/>
            <w:vAlign w:val="bottom"/>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280" w:type="dxa"/>
            <w:vAlign w:val="bottom"/>
            <w:shd w:val="clear" w:color="auto" w:fill="CCEEFF"/>
          </w:tcPr>
          <w:p>
            <w:pPr>
              <w:jc w:val="right"/>
              <w:ind w:right="1"/>
              <w:spacing w:after="0"/>
              <w:rPr>
                <w:sz w:val="20"/>
                <w:szCs w:val="20"/>
                <w:color w:val="auto"/>
              </w:rPr>
            </w:pPr>
            <w:r>
              <w:rPr>
                <w:rFonts w:ascii="Arial" w:cs="Arial" w:eastAsia="Arial" w:hAnsi="Arial"/>
                <w:sz w:val="20"/>
                <w:szCs w:val="20"/>
                <w:color w:val="auto"/>
              </w:rPr>
              <w:t>159,928,174</w:t>
            </w:r>
          </w:p>
        </w:tc>
      </w:tr>
      <w:tr>
        <w:trPr>
          <w:trHeight w:val="260"/>
        </w:trPr>
        <w:tc>
          <w:tcPr>
            <w:tcW w:w="9660" w:type="dxa"/>
            <w:vAlign w:val="bottom"/>
          </w:tcPr>
          <w:p>
            <w:pPr>
              <w:ind w:left="40"/>
              <w:spacing w:after="0"/>
              <w:rPr>
                <w:sz w:val="20"/>
                <w:szCs w:val="20"/>
                <w:color w:val="auto"/>
              </w:rPr>
            </w:pPr>
            <w:r>
              <w:rPr>
                <w:rFonts w:ascii="Arial" w:cs="Arial" w:eastAsia="Arial" w:hAnsi="Arial"/>
                <w:sz w:val="20"/>
                <w:szCs w:val="20"/>
                <w:color w:val="auto"/>
              </w:rPr>
              <w:t>Amounts deemed distributions of participant loans as reflected in the Form 5500 for the current year</w:t>
            </w:r>
          </w:p>
        </w:tc>
        <w:tc>
          <w:tcPr>
            <w:tcW w:w="300" w:type="dxa"/>
            <w:vAlign w:val="bottom"/>
          </w:tcPr>
          <w:p>
            <w:pPr>
              <w:spacing w:after="0"/>
              <w:rPr>
                <w:sz w:val="22"/>
                <w:szCs w:val="22"/>
                <w:color w:val="auto"/>
              </w:rPr>
            </w:pPr>
          </w:p>
        </w:tc>
        <w:tc>
          <w:tcPr>
            <w:tcW w:w="1280" w:type="dxa"/>
            <w:vAlign w:val="bottom"/>
          </w:tcPr>
          <w:p>
            <w:pPr>
              <w:jc w:val="right"/>
              <w:ind w:right="1"/>
              <w:spacing w:after="0"/>
              <w:rPr>
                <w:sz w:val="20"/>
                <w:szCs w:val="20"/>
                <w:color w:val="auto"/>
              </w:rPr>
            </w:pPr>
            <w:r>
              <w:rPr>
                <w:rFonts w:ascii="Arial" w:cs="Arial" w:eastAsia="Arial" w:hAnsi="Arial"/>
                <w:sz w:val="20"/>
                <w:szCs w:val="20"/>
                <w:color w:val="auto"/>
              </w:rPr>
              <w:t>133,108</w:t>
            </w:r>
          </w:p>
        </w:tc>
      </w:tr>
      <w:tr>
        <w:trPr>
          <w:trHeight w:val="23"/>
        </w:trPr>
        <w:tc>
          <w:tcPr>
            <w:tcW w:w="96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83"/>
        </w:trPr>
        <w:tc>
          <w:tcPr>
            <w:tcW w:w="9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0"/>
                <w:szCs w:val="20"/>
                <w:color w:val="auto"/>
              </w:rPr>
              <w:t>Distributions from prior year amounts deemed distributed</w:t>
            </w:r>
          </w:p>
        </w:tc>
        <w:tc>
          <w:tcPr>
            <w:tcW w:w="300" w:type="dxa"/>
            <w:vAlign w:val="bottom"/>
            <w:tcBorders>
              <w:bottom w:val="single" w:sz="8" w:color="CCEEFF"/>
            </w:tcBorders>
            <w:shd w:val="clear" w:color="auto" w:fill="CCEEFF"/>
          </w:tcPr>
          <w:p>
            <w:pPr>
              <w:spacing w:after="0"/>
              <w:rPr>
                <w:sz w:val="24"/>
                <w:szCs w:val="24"/>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rPr>
              <w:t>(56,554)</w:t>
            </w:r>
          </w:p>
        </w:tc>
      </w:tr>
      <w:tr>
        <w:trPr>
          <w:trHeight w:val="272"/>
        </w:trPr>
        <w:tc>
          <w:tcPr>
            <w:tcW w:w="9660" w:type="dxa"/>
            <w:vAlign w:val="bottom"/>
          </w:tcPr>
          <w:p>
            <w:pPr>
              <w:ind w:left="40"/>
              <w:spacing w:after="0"/>
              <w:rPr>
                <w:sz w:val="20"/>
                <w:szCs w:val="20"/>
                <w:color w:val="auto"/>
              </w:rPr>
            </w:pPr>
            <w:r>
              <w:rPr>
                <w:rFonts w:ascii="Arial" w:cs="Arial" w:eastAsia="Arial" w:hAnsi="Arial"/>
                <w:sz w:val="20"/>
                <w:szCs w:val="20"/>
                <w:color w:val="auto"/>
              </w:rPr>
              <w:t>Total net income per Form 5500</w:t>
            </w:r>
          </w:p>
        </w:tc>
        <w:tc>
          <w:tcPr>
            <w:tcW w:w="300" w:type="dxa"/>
            <w:vAlign w:val="bottom"/>
            <w:tcBorders>
              <w:top w:val="single" w:sz="8" w:color="auto"/>
              <w:bottom w:val="single" w:sz="8" w:color="auto"/>
            </w:tcBorders>
          </w:tcPr>
          <w:p>
            <w:pPr>
              <w:jc w:val="right"/>
              <w:ind w:right="81"/>
              <w:spacing w:after="0"/>
              <w:rPr>
                <w:sz w:val="20"/>
                <w:szCs w:val="20"/>
                <w:color w:val="auto"/>
              </w:rPr>
            </w:pPr>
            <w:r>
              <w:rPr>
                <w:rFonts w:ascii="Arial" w:cs="Arial" w:eastAsia="Arial" w:hAnsi="Arial"/>
                <w:sz w:val="20"/>
                <w:szCs w:val="20"/>
                <w:color w:val="auto"/>
                <w:w w:val="89"/>
              </w:rPr>
              <w:t>$</w:t>
            </w:r>
          </w:p>
        </w:tc>
        <w:tc>
          <w:tcPr>
            <w:tcW w:w="1280" w:type="dxa"/>
            <w:vAlign w:val="bottom"/>
            <w:tcBorders>
              <w:top w:val="single" w:sz="8" w:color="auto"/>
              <w:bottom w:val="single" w:sz="8" w:color="auto"/>
            </w:tcBorders>
          </w:tcPr>
          <w:p>
            <w:pPr>
              <w:jc w:val="right"/>
              <w:ind w:right="1"/>
              <w:spacing w:after="0"/>
              <w:rPr>
                <w:sz w:val="20"/>
                <w:szCs w:val="20"/>
                <w:color w:val="auto"/>
              </w:rPr>
            </w:pPr>
            <w:r>
              <w:rPr>
                <w:rFonts w:ascii="Arial" w:cs="Arial" w:eastAsia="Arial" w:hAnsi="Arial"/>
                <w:sz w:val="20"/>
                <w:szCs w:val="20"/>
                <w:color w:val="auto"/>
              </w:rPr>
              <w:t>160,004,728</w:t>
            </w:r>
          </w:p>
        </w:tc>
      </w:tr>
      <w:tr>
        <w:trPr>
          <w:trHeight w:val="20"/>
        </w:trPr>
        <w:tc>
          <w:tcPr>
            <w:tcW w:w="96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bl>
    <w:p>
      <w:pPr>
        <w:spacing w:after="0" w:line="159" w:lineRule="exact"/>
        <w:rPr>
          <w:sz w:val="20"/>
          <w:szCs w:val="20"/>
          <w:color w:val="auto"/>
        </w:rPr>
      </w:pPr>
    </w:p>
    <w:p>
      <w:pPr>
        <w:jc w:val="both"/>
        <w:ind w:firstLine="405"/>
        <w:spacing w:after="0" w:line="282" w:lineRule="auto"/>
        <w:rPr>
          <w:sz w:val="20"/>
          <w:szCs w:val="20"/>
          <w:color w:val="auto"/>
        </w:rPr>
      </w:pPr>
      <w:r>
        <w:rPr>
          <w:rFonts w:ascii="Arial" w:cs="Arial" w:eastAsia="Arial" w:hAnsi="Arial"/>
          <w:sz w:val="18"/>
          <w:szCs w:val="18"/>
          <w:color w:val="auto"/>
        </w:rPr>
        <w:t>The reconciling items noted above are due to the difference in the method of accounting used in preparing the Form 5500 as compared with the Plan's financial statements. Government reporting rules were used in preparing the Form 5500, whereas the Plan's financial statements have been prepared on the accrual basis of accounting as required by U.S. GAAP. The Code requires participant loans that are in default to be recorded as deemed distributions on the Form 5500, although the Plan still holds the participant loans as note receivables.</w:t>
      </w:r>
    </w:p>
    <w:p>
      <w:pPr>
        <w:sectPr>
          <w:pgSz w:w="11900" w:h="16838" w:orient="portrait"/>
          <w:cols w:equalWidth="0" w:num="1">
            <w:col w:w="11240"/>
          </w:cols>
          <w:pgMar w:left="320" w:top="117"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10</w:t>
      </w:r>
    </w:p>
    <w:p>
      <w:pPr>
        <w:sectPr>
          <w:pgSz w:w="11900" w:h="16838" w:orient="portrait"/>
          <w:cols w:equalWidth="0" w:num="1">
            <w:col w:w="11240"/>
          </w:cols>
          <w:pgMar w:left="320" w:top="117" w:right="339" w:bottom="1440" w:gutter="0" w:footer="0" w:header="0"/>
          <w:type w:val="continuous"/>
        </w:sectPr>
      </w:pPr>
    </w:p>
    <w:bookmarkStart w:id="17" w:name="page18"/>
    <w:bookmarkEnd w:id="1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32"/>
          <w:szCs w:val="32"/>
          <w:b w:val="1"/>
          <w:bCs w:val="1"/>
          <w:color w:val="auto"/>
        </w:rPr>
        <w:t>SUPPLEMENTAL SCHEDULES</w:t>
      </w:r>
    </w:p>
    <w:p>
      <w:pPr>
        <w:sectPr>
          <w:pgSz w:w="11900" w:h="16838" w:orient="portrait"/>
          <w:cols w:equalWidth="0" w:num="1">
            <w:col w:w="9019"/>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w:t>
      </w:r>
    </w:p>
    <w:p>
      <w:pPr>
        <w:sectPr>
          <w:pgSz w:w="11900" w:h="16838" w:orient="portrait"/>
          <w:cols w:equalWidth="0" w:num="1">
            <w:col w:w="9019"/>
          </w:cols>
          <w:pgMar w:left="1440" w:top="1440" w:right="1440" w:bottom="1440" w:gutter="0" w:footer="0" w:header="0"/>
          <w:type w:val="continuous"/>
        </w:sectPr>
      </w:pPr>
    </w:p>
    <w:bookmarkStart w:id="18" w:name="page19"/>
    <w:bookmarkEnd w:id="18"/>
    <w:p>
      <w:pPr>
        <w:spacing w:after="0"/>
        <w:rPr>
          <w:sz w:val="20"/>
          <w:szCs w:val="20"/>
          <w:color w:val="auto"/>
        </w:rPr>
      </w:pPr>
      <w:r>
        <w:rPr>
          <w:rFonts w:ascii="Arial" w:cs="Arial" w:eastAsia="Arial" w:hAnsi="Arial"/>
          <w:sz w:val="20"/>
          <w:szCs w:val="20"/>
          <w:b w:val="1"/>
          <w:bCs w:val="1"/>
          <w:color w:val="auto"/>
        </w:rPr>
        <w:t>FLOWSERVE CORPORATION</w:t>
      </w:r>
    </w:p>
    <w:p>
      <w:pPr>
        <w:spacing w:after="0" w:line="2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RETIREMENT SAVINGS PLAN</w:t>
      </w:r>
    </w:p>
    <w:p>
      <w:pPr>
        <w:spacing w:after="0" w:line="200" w:lineRule="exact"/>
        <w:rPr>
          <w:sz w:val="20"/>
          <w:szCs w:val="20"/>
          <w:color w:val="auto"/>
        </w:rPr>
      </w:pPr>
    </w:p>
    <w:p>
      <w:pPr>
        <w:spacing w:after="0"/>
        <w:rPr>
          <w:sz w:val="20"/>
          <w:szCs w:val="20"/>
          <w:color w:val="auto"/>
        </w:rPr>
      </w:pPr>
      <w:r>
        <w:rPr>
          <w:rFonts w:ascii="Arial" w:cs="Arial" w:eastAsia="Arial" w:hAnsi="Arial"/>
          <w:sz w:val="20"/>
          <w:szCs w:val="20"/>
          <w:color w:val="auto"/>
        </w:rPr>
        <w:t>I.R.S. Employer Identification Number: 31-0267900</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Plan No. 008</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right="200"/>
        <w:spacing w:after="0" w:line="267" w:lineRule="auto"/>
        <w:rPr>
          <w:sz w:val="20"/>
          <w:szCs w:val="20"/>
          <w:color w:val="auto"/>
        </w:rPr>
      </w:pPr>
      <w:r>
        <w:rPr>
          <w:rFonts w:ascii="Arial" w:cs="Arial" w:eastAsia="Arial" w:hAnsi="Arial"/>
          <w:sz w:val="20"/>
          <w:szCs w:val="20"/>
          <w:b w:val="1"/>
          <w:bCs w:val="1"/>
          <w:color w:val="auto"/>
        </w:rPr>
        <w:t>FORM 5500, SCHEDULE H, LINE 4a — SCHEDULE OF DELINQUENT PARTICIPANT CONTRIBUTIONS FOR THE YEAR ENDED DECEMBER 31, 2019</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60" w:type="dxa"/>
            <w:vAlign w:val="bottom"/>
          </w:tcPr>
          <w:p>
            <w:pPr>
              <w:spacing w:after="0"/>
              <w:rPr>
                <w:sz w:val="19"/>
                <w:szCs w:val="19"/>
                <w:color w:val="auto"/>
              </w:rPr>
            </w:pPr>
          </w:p>
        </w:tc>
        <w:tc>
          <w:tcPr>
            <w:tcW w:w="2040" w:type="dxa"/>
            <w:vAlign w:val="bottom"/>
            <w:gridSpan w:val="2"/>
          </w:tcPr>
          <w:p>
            <w:pPr>
              <w:jc w:val="center"/>
              <w:ind w:right="440"/>
              <w:spacing w:after="0"/>
              <w:rPr>
                <w:sz w:val="20"/>
                <w:szCs w:val="20"/>
                <w:color w:val="auto"/>
              </w:rPr>
            </w:pPr>
            <w:r>
              <w:rPr>
                <w:rFonts w:ascii="Arial" w:cs="Arial" w:eastAsia="Arial" w:hAnsi="Arial"/>
                <w:sz w:val="20"/>
                <w:szCs w:val="20"/>
                <w:b w:val="1"/>
                <w:bCs w:val="1"/>
                <w:color w:val="auto"/>
                <w:w w:val="92"/>
              </w:rPr>
              <w:t>Participant</w:t>
            </w:r>
          </w:p>
        </w:tc>
        <w:tc>
          <w:tcPr>
            <w:tcW w:w="30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92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0" w:type="dxa"/>
            <w:vAlign w:val="bottom"/>
          </w:tcPr>
          <w:p>
            <w:pPr>
              <w:spacing w:after="0"/>
              <w:rPr>
                <w:sz w:val="19"/>
                <w:szCs w:val="19"/>
                <w:color w:val="auto"/>
              </w:rPr>
            </w:pPr>
          </w:p>
        </w:tc>
      </w:tr>
      <w:tr>
        <w:trPr>
          <w:trHeight w:val="230"/>
        </w:trPr>
        <w:tc>
          <w:tcPr>
            <w:tcW w:w="160" w:type="dxa"/>
            <w:vAlign w:val="bottom"/>
          </w:tcPr>
          <w:p>
            <w:pPr>
              <w:spacing w:after="0"/>
              <w:rPr>
                <w:sz w:val="19"/>
                <w:szCs w:val="19"/>
                <w:color w:val="auto"/>
              </w:rPr>
            </w:pPr>
          </w:p>
        </w:tc>
        <w:tc>
          <w:tcPr>
            <w:tcW w:w="2040" w:type="dxa"/>
            <w:vAlign w:val="bottom"/>
            <w:gridSpan w:val="2"/>
          </w:tcPr>
          <w:p>
            <w:pPr>
              <w:jc w:val="center"/>
              <w:ind w:right="460"/>
              <w:spacing w:after="0"/>
              <w:rPr>
                <w:sz w:val="20"/>
                <w:szCs w:val="20"/>
                <w:color w:val="auto"/>
              </w:rPr>
            </w:pPr>
            <w:r>
              <w:rPr>
                <w:rFonts w:ascii="Arial" w:cs="Arial" w:eastAsia="Arial" w:hAnsi="Arial"/>
                <w:sz w:val="20"/>
                <w:szCs w:val="20"/>
                <w:b w:val="1"/>
                <w:bCs w:val="1"/>
                <w:color w:val="auto"/>
                <w:w w:val="89"/>
              </w:rPr>
              <w:t>Contributions</w:t>
            </w:r>
          </w:p>
        </w:tc>
        <w:tc>
          <w:tcPr>
            <w:tcW w:w="30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92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0" w:type="dxa"/>
            <w:vAlign w:val="bottom"/>
          </w:tcPr>
          <w:p>
            <w:pPr>
              <w:spacing w:after="0"/>
              <w:rPr>
                <w:sz w:val="19"/>
                <w:szCs w:val="19"/>
                <w:color w:val="auto"/>
              </w:rPr>
            </w:pPr>
          </w:p>
        </w:tc>
      </w:tr>
      <w:tr>
        <w:trPr>
          <w:trHeight w:val="229"/>
        </w:trPr>
        <w:tc>
          <w:tcPr>
            <w:tcW w:w="2200" w:type="dxa"/>
            <w:vAlign w:val="bottom"/>
            <w:gridSpan w:val="3"/>
          </w:tcPr>
          <w:p>
            <w:pPr>
              <w:jc w:val="center"/>
              <w:ind w:right="300"/>
              <w:spacing w:after="0"/>
              <w:rPr>
                <w:sz w:val="20"/>
                <w:szCs w:val="20"/>
                <w:color w:val="auto"/>
              </w:rPr>
            </w:pPr>
            <w:r>
              <w:rPr>
                <w:rFonts w:ascii="Arial" w:cs="Arial" w:eastAsia="Arial" w:hAnsi="Arial"/>
                <w:sz w:val="20"/>
                <w:szCs w:val="20"/>
                <w:b w:val="1"/>
                <w:bCs w:val="1"/>
                <w:color w:val="auto"/>
                <w:w w:val="91"/>
              </w:rPr>
              <w:t>Transferred Late to</w:t>
            </w:r>
          </w:p>
        </w:tc>
        <w:tc>
          <w:tcPr>
            <w:tcW w:w="30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92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0" w:type="dxa"/>
            <w:vAlign w:val="bottom"/>
          </w:tcPr>
          <w:p>
            <w:pPr>
              <w:spacing w:after="0"/>
              <w:rPr>
                <w:sz w:val="19"/>
                <w:szCs w:val="19"/>
                <w:color w:val="auto"/>
              </w:rPr>
            </w:pPr>
          </w:p>
        </w:tc>
      </w:tr>
      <w:tr>
        <w:trPr>
          <w:trHeight w:val="256"/>
        </w:trPr>
        <w:tc>
          <w:tcPr>
            <w:tcW w:w="160" w:type="dxa"/>
            <w:vAlign w:val="bottom"/>
          </w:tcPr>
          <w:p>
            <w:pPr>
              <w:spacing w:after="0"/>
              <w:rPr>
                <w:sz w:val="22"/>
                <w:szCs w:val="22"/>
                <w:color w:val="auto"/>
              </w:rPr>
            </w:pPr>
          </w:p>
        </w:tc>
        <w:tc>
          <w:tcPr>
            <w:tcW w:w="2040" w:type="dxa"/>
            <w:vAlign w:val="bottom"/>
            <w:gridSpan w:val="2"/>
          </w:tcPr>
          <w:p>
            <w:pPr>
              <w:jc w:val="center"/>
              <w:ind w:right="460"/>
              <w:spacing w:after="0"/>
              <w:rPr>
                <w:sz w:val="20"/>
                <w:szCs w:val="20"/>
                <w:color w:val="auto"/>
              </w:rPr>
            </w:pPr>
            <w:r>
              <w:rPr>
                <w:rFonts w:ascii="Arial" w:cs="Arial" w:eastAsia="Arial" w:hAnsi="Arial"/>
                <w:sz w:val="20"/>
                <w:szCs w:val="20"/>
                <w:b w:val="1"/>
                <w:bCs w:val="1"/>
                <w:color w:val="auto"/>
                <w:w w:val="89"/>
              </w:rPr>
              <w:t>Plan</w:t>
            </w:r>
          </w:p>
        </w:tc>
        <w:tc>
          <w:tcPr>
            <w:tcW w:w="300" w:type="dxa"/>
            <w:vAlign w:val="bottom"/>
          </w:tcPr>
          <w:p>
            <w:pPr>
              <w:spacing w:after="0"/>
              <w:rPr>
                <w:sz w:val="22"/>
                <w:szCs w:val="22"/>
                <w:color w:val="auto"/>
              </w:rPr>
            </w:pPr>
          </w:p>
        </w:tc>
        <w:tc>
          <w:tcPr>
            <w:tcW w:w="5900" w:type="dxa"/>
            <w:vAlign w:val="bottom"/>
            <w:gridSpan w:val="4"/>
          </w:tcPr>
          <w:p>
            <w:pPr>
              <w:jc w:val="center"/>
              <w:ind w:left="241"/>
              <w:spacing w:after="0"/>
              <w:rPr>
                <w:sz w:val="20"/>
                <w:szCs w:val="20"/>
                <w:color w:val="auto"/>
              </w:rPr>
            </w:pPr>
            <w:r>
              <w:rPr>
                <w:rFonts w:ascii="Arial" w:cs="Arial" w:eastAsia="Arial" w:hAnsi="Arial"/>
                <w:sz w:val="20"/>
                <w:szCs w:val="20"/>
                <w:b w:val="1"/>
                <w:bCs w:val="1"/>
                <w:color w:val="auto"/>
                <w:w w:val="89"/>
              </w:rPr>
              <w:t>Total that Constitute Nonexempt Prohibited Transactions</w:t>
            </w:r>
          </w:p>
        </w:tc>
        <w:tc>
          <w:tcPr>
            <w:tcW w:w="7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000" w:type="dxa"/>
            <w:vAlign w:val="bottom"/>
          </w:tcPr>
          <w:p>
            <w:pPr>
              <w:spacing w:after="0"/>
              <w:rPr>
                <w:sz w:val="22"/>
                <w:szCs w:val="22"/>
                <w:color w:val="auto"/>
              </w:rPr>
            </w:pPr>
          </w:p>
        </w:tc>
      </w:tr>
      <w:tr>
        <w:trPr>
          <w:trHeight w:val="23"/>
        </w:trPr>
        <w:tc>
          <w:tcPr>
            <w:tcW w:w="160" w:type="dxa"/>
            <w:vAlign w:val="bottom"/>
          </w:tcPr>
          <w:p>
            <w:pPr>
              <w:spacing w:after="0"/>
              <w:rPr>
                <w:sz w:val="2"/>
                <w:szCs w:val="2"/>
                <w:color w:val="auto"/>
              </w:rPr>
            </w:pPr>
          </w:p>
        </w:tc>
        <w:tc>
          <w:tcPr>
            <w:tcW w:w="2040" w:type="dxa"/>
            <w:vAlign w:val="bottom"/>
            <w:gridSpan w:val="2"/>
          </w:tcPr>
          <w:p>
            <w:pPr>
              <w:spacing w:after="0"/>
              <w:rPr>
                <w:sz w:val="2"/>
                <w:szCs w:val="2"/>
                <w:color w:val="auto"/>
              </w:rPr>
            </w:pPr>
          </w:p>
        </w:tc>
        <w:tc>
          <w:tcPr>
            <w:tcW w:w="3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14"/>
        </w:trPr>
        <w:tc>
          <w:tcPr>
            <w:tcW w:w="160" w:type="dxa"/>
            <w:vAlign w:val="bottom"/>
          </w:tcPr>
          <w:p>
            <w:pPr>
              <w:spacing w:after="0"/>
              <w:rPr>
                <w:sz w:val="18"/>
                <w:szCs w:val="18"/>
                <w:color w:val="auto"/>
              </w:rPr>
            </w:pPr>
          </w:p>
        </w:tc>
        <w:tc>
          <w:tcPr>
            <w:tcW w:w="1740" w:type="dxa"/>
            <w:vAlign w:val="bottom"/>
          </w:tcPr>
          <w:p>
            <w:pPr>
              <w:jc w:val="center"/>
              <w:ind w:right="41"/>
              <w:spacing w:after="0" w:line="213" w:lineRule="exact"/>
              <w:rPr>
                <w:sz w:val="20"/>
                <w:szCs w:val="20"/>
                <w:color w:val="auto"/>
              </w:rPr>
            </w:pPr>
            <w:r>
              <w:rPr>
                <w:rFonts w:ascii="Arial" w:cs="Arial" w:eastAsia="Arial" w:hAnsi="Arial"/>
                <w:sz w:val="20"/>
                <w:szCs w:val="20"/>
                <w:b w:val="1"/>
                <w:bCs w:val="1"/>
                <w:color w:val="auto"/>
                <w:w w:val="90"/>
              </w:rPr>
              <w:t>Check here if Late</w:t>
            </w:r>
          </w:p>
        </w:tc>
        <w:tc>
          <w:tcPr>
            <w:tcW w:w="30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820" w:type="dxa"/>
            <w:vAlign w:val="bottom"/>
            <w:tcBorders>
              <w:top w:val="single" w:sz="8" w:color="auto"/>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920" w:type="dxa"/>
            <w:vAlign w:val="bottom"/>
            <w:tcBorders>
              <w:top w:val="single" w:sz="8" w:color="auto"/>
            </w:tcBorders>
          </w:tcPr>
          <w:p>
            <w:pPr>
              <w:spacing w:after="0"/>
              <w:rPr>
                <w:sz w:val="18"/>
                <w:szCs w:val="18"/>
                <w:color w:val="auto"/>
              </w:rPr>
            </w:pPr>
          </w:p>
        </w:tc>
        <w:tc>
          <w:tcPr>
            <w:tcW w:w="182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000" w:type="dxa"/>
            <w:vAlign w:val="bottom"/>
          </w:tcPr>
          <w:p>
            <w:pPr>
              <w:spacing w:after="0"/>
              <w:rPr>
                <w:sz w:val="18"/>
                <w:szCs w:val="18"/>
                <w:color w:val="auto"/>
              </w:rPr>
            </w:pPr>
          </w:p>
        </w:tc>
      </w:tr>
      <w:tr>
        <w:trPr>
          <w:trHeight w:val="229"/>
        </w:trPr>
        <w:tc>
          <w:tcPr>
            <w:tcW w:w="160" w:type="dxa"/>
            <w:vAlign w:val="bottom"/>
          </w:tcPr>
          <w:p>
            <w:pPr>
              <w:spacing w:after="0"/>
              <w:rPr>
                <w:sz w:val="19"/>
                <w:szCs w:val="19"/>
                <w:color w:val="auto"/>
              </w:rPr>
            </w:pPr>
          </w:p>
        </w:tc>
        <w:tc>
          <w:tcPr>
            <w:tcW w:w="2040" w:type="dxa"/>
            <w:vAlign w:val="bottom"/>
            <w:gridSpan w:val="2"/>
          </w:tcPr>
          <w:p>
            <w:pPr>
              <w:jc w:val="center"/>
              <w:ind w:right="440"/>
              <w:spacing w:after="0"/>
              <w:rPr>
                <w:sz w:val="20"/>
                <w:szCs w:val="20"/>
                <w:color w:val="auto"/>
              </w:rPr>
            </w:pPr>
            <w:r>
              <w:rPr>
                <w:rFonts w:ascii="Arial" w:cs="Arial" w:eastAsia="Arial" w:hAnsi="Arial"/>
                <w:sz w:val="20"/>
                <w:szCs w:val="20"/>
                <w:b w:val="1"/>
                <w:bCs w:val="1"/>
                <w:color w:val="auto"/>
                <w:w w:val="91"/>
              </w:rPr>
              <w:t>Participant Loan</w:t>
            </w:r>
          </w:p>
        </w:tc>
        <w:tc>
          <w:tcPr>
            <w:tcW w:w="30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920" w:type="dxa"/>
            <w:vAlign w:val="bottom"/>
          </w:tcPr>
          <w:p>
            <w:pPr>
              <w:jc w:val="center"/>
              <w:ind w:right="163"/>
              <w:spacing w:after="0"/>
              <w:rPr>
                <w:sz w:val="20"/>
                <w:szCs w:val="20"/>
                <w:color w:val="auto"/>
              </w:rPr>
            </w:pPr>
            <w:r>
              <w:rPr>
                <w:rFonts w:ascii="Arial" w:cs="Arial" w:eastAsia="Arial" w:hAnsi="Arial"/>
                <w:sz w:val="20"/>
                <w:szCs w:val="20"/>
                <w:b w:val="1"/>
                <w:bCs w:val="1"/>
                <w:color w:val="auto"/>
                <w:w w:val="89"/>
              </w:rPr>
              <w:t>Contributions</w:t>
            </w:r>
          </w:p>
        </w:tc>
        <w:tc>
          <w:tcPr>
            <w:tcW w:w="18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0" w:type="dxa"/>
            <w:vAlign w:val="bottom"/>
          </w:tcPr>
          <w:p>
            <w:pPr>
              <w:jc w:val="center"/>
              <w:ind w:right="41"/>
              <w:spacing w:after="0"/>
              <w:rPr>
                <w:sz w:val="20"/>
                <w:szCs w:val="20"/>
                <w:color w:val="auto"/>
              </w:rPr>
            </w:pPr>
            <w:r>
              <w:rPr>
                <w:rFonts w:ascii="Arial" w:cs="Arial" w:eastAsia="Arial" w:hAnsi="Arial"/>
                <w:sz w:val="20"/>
                <w:szCs w:val="20"/>
                <w:b w:val="1"/>
                <w:bCs w:val="1"/>
                <w:color w:val="auto"/>
                <w:w w:val="90"/>
              </w:rPr>
              <w:t>Total Fully Corrected</w:t>
            </w:r>
          </w:p>
        </w:tc>
      </w:tr>
      <w:tr>
        <w:trPr>
          <w:trHeight w:val="219"/>
        </w:trPr>
        <w:tc>
          <w:tcPr>
            <w:tcW w:w="160" w:type="dxa"/>
            <w:vAlign w:val="bottom"/>
          </w:tcPr>
          <w:p>
            <w:pPr>
              <w:spacing w:after="0"/>
              <w:rPr>
                <w:sz w:val="19"/>
                <w:szCs w:val="19"/>
                <w:color w:val="auto"/>
              </w:rPr>
            </w:pPr>
          </w:p>
        </w:tc>
        <w:tc>
          <w:tcPr>
            <w:tcW w:w="2040" w:type="dxa"/>
            <w:vAlign w:val="bottom"/>
            <w:gridSpan w:val="2"/>
          </w:tcPr>
          <w:p>
            <w:pPr>
              <w:jc w:val="center"/>
              <w:ind w:right="460"/>
              <w:spacing w:after="0" w:line="219" w:lineRule="exact"/>
              <w:rPr>
                <w:sz w:val="20"/>
                <w:szCs w:val="20"/>
                <w:color w:val="auto"/>
              </w:rPr>
            </w:pPr>
            <w:r>
              <w:rPr>
                <w:rFonts w:ascii="Arial" w:cs="Arial" w:eastAsia="Arial" w:hAnsi="Arial"/>
                <w:sz w:val="20"/>
                <w:szCs w:val="20"/>
                <w:b w:val="1"/>
                <w:bCs w:val="1"/>
                <w:color w:val="auto"/>
                <w:w w:val="87"/>
              </w:rPr>
              <w:t>Payments are</w:t>
            </w:r>
          </w:p>
        </w:tc>
        <w:tc>
          <w:tcPr>
            <w:tcW w:w="300" w:type="dxa"/>
            <w:vAlign w:val="bottom"/>
          </w:tcPr>
          <w:p>
            <w:pPr>
              <w:spacing w:after="0"/>
              <w:rPr>
                <w:sz w:val="19"/>
                <w:szCs w:val="19"/>
                <w:color w:val="auto"/>
              </w:rPr>
            </w:pPr>
          </w:p>
        </w:tc>
        <w:tc>
          <w:tcPr>
            <w:tcW w:w="1820" w:type="dxa"/>
            <w:vAlign w:val="bottom"/>
          </w:tcPr>
          <w:p>
            <w:pPr>
              <w:jc w:val="center"/>
              <w:ind w:right="121"/>
              <w:spacing w:after="0" w:line="219" w:lineRule="exact"/>
              <w:rPr>
                <w:sz w:val="20"/>
                <w:szCs w:val="20"/>
                <w:color w:val="auto"/>
              </w:rPr>
            </w:pPr>
            <w:r>
              <w:rPr>
                <w:rFonts w:ascii="Arial" w:cs="Arial" w:eastAsia="Arial" w:hAnsi="Arial"/>
                <w:sz w:val="20"/>
                <w:szCs w:val="20"/>
                <w:b w:val="1"/>
                <w:bCs w:val="1"/>
                <w:color w:val="auto"/>
                <w:w w:val="91"/>
              </w:rPr>
              <w:t>Contributions Not</w:t>
            </w:r>
          </w:p>
        </w:tc>
        <w:tc>
          <w:tcPr>
            <w:tcW w:w="340" w:type="dxa"/>
            <w:vAlign w:val="bottom"/>
          </w:tcPr>
          <w:p>
            <w:pPr>
              <w:spacing w:after="0"/>
              <w:rPr>
                <w:sz w:val="19"/>
                <w:szCs w:val="19"/>
                <w:color w:val="auto"/>
              </w:rPr>
            </w:pPr>
          </w:p>
        </w:tc>
        <w:tc>
          <w:tcPr>
            <w:tcW w:w="1920" w:type="dxa"/>
            <w:vAlign w:val="bottom"/>
          </w:tcPr>
          <w:p>
            <w:pPr>
              <w:jc w:val="center"/>
              <w:ind w:right="143"/>
              <w:spacing w:after="0" w:line="219" w:lineRule="exact"/>
              <w:rPr>
                <w:sz w:val="20"/>
                <w:szCs w:val="20"/>
                <w:color w:val="auto"/>
              </w:rPr>
            </w:pPr>
            <w:r>
              <w:rPr>
                <w:rFonts w:ascii="Arial" w:cs="Arial" w:eastAsia="Arial" w:hAnsi="Arial"/>
                <w:sz w:val="20"/>
                <w:szCs w:val="20"/>
                <w:b w:val="1"/>
                <w:bCs w:val="1"/>
                <w:color w:val="auto"/>
                <w:w w:val="89"/>
              </w:rPr>
              <w:t>Corrected Outside</w:t>
            </w:r>
          </w:p>
        </w:tc>
        <w:tc>
          <w:tcPr>
            <w:tcW w:w="2520" w:type="dxa"/>
            <w:vAlign w:val="bottom"/>
            <w:gridSpan w:val="2"/>
          </w:tcPr>
          <w:p>
            <w:pPr>
              <w:jc w:val="right"/>
              <w:ind w:right="241"/>
              <w:spacing w:after="0" w:line="219" w:lineRule="exact"/>
              <w:rPr>
                <w:sz w:val="20"/>
                <w:szCs w:val="20"/>
                <w:color w:val="auto"/>
              </w:rPr>
            </w:pPr>
            <w:r>
              <w:rPr>
                <w:rFonts w:ascii="Arial" w:cs="Arial" w:eastAsia="Arial" w:hAnsi="Arial"/>
                <w:sz w:val="20"/>
                <w:szCs w:val="20"/>
                <w:b w:val="1"/>
                <w:bCs w:val="1"/>
                <w:color w:val="auto"/>
              </w:rPr>
              <w:t>Contributions Pending</w:t>
            </w:r>
          </w:p>
        </w:tc>
        <w:tc>
          <w:tcPr>
            <w:tcW w:w="2140" w:type="dxa"/>
            <w:vAlign w:val="bottom"/>
            <w:gridSpan w:val="2"/>
          </w:tcPr>
          <w:p>
            <w:pPr>
              <w:jc w:val="center"/>
              <w:spacing w:after="0" w:line="219" w:lineRule="exact"/>
              <w:rPr>
                <w:sz w:val="20"/>
                <w:szCs w:val="20"/>
                <w:color w:val="auto"/>
              </w:rPr>
            </w:pPr>
            <w:r>
              <w:rPr>
                <w:rFonts w:ascii="Arial" w:cs="Arial" w:eastAsia="Arial" w:hAnsi="Arial"/>
                <w:sz w:val="20"/>
                <w:szCs w:val="20"/>
                <w:b w:val="1"/>
                <w:bCs w:val="1"/>
                <w:color w:val="auto"/>
                <w:w w:val="94"/>
              </w:rPr>
              <w:t>Under VFCP and PTE</w:t>
            </w:r>
          </w:p>
        </w:tc>
      </w:tr>
      <w:tr>
        <w:trPr>
          <w:trHeight w:val="286"/>
        </w:trPr>
        <w:tc>
          <w:tcPr>
            <w:tcW w:w="16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gridSpan w:val="2"/>
          </w:tcPr>
          <w:p>
            <w:pPr>
              <w:jc w:val="center"/>
              <w:ind w:right="460"/>
              <w:spacing w:after="0" w:line="230" w:lineRule="exact"/>
              <w:rPr>
                <w:sz w:val="20"/>
                <w:szCs w:val="20"/>
                <w:color w:val="auto"/>
              </w:rPr>
            </w:pPr>
            <w:r>
              <w:rPr>
                <w:rFonts w:ascii="Arial" w:cs="Arial" w:eastAsia="Arial" w:hAnsi="Arial"/>
                <w:sz w:val="20"/>
                <w:szCs w:val="20"/>
                <w:b w:val="1"/>
                <w:bCs w:val="1"/>
                <w:color w:val="auto"/>
                <w:w w:val="89"/>
              </w:rPr>
              <w:t xml:space="preserve">included </w:t>
            </w:r>
            <w:r>
              <w:rPr>
                <w:rFonts w:ascii="MS PGothic" w:cs="MS PGothic" w:eastAsia="MS PGothic" w:hAnsi="MS PGothic"/>
                <w:sz w:val="17"/>
                <w:szCs w:val="17"/>
                <w:color w:val="auto"/>
                <w:w w:val="89"/>
              </w:rPr>
              <w:t>☐</w:t>
            </w:r>
          </w:p>
        </w:tc>
        <w:tc>
          <w:tcPr>
            <w:tcW w:w="30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tcPr>
          <w:p>
            <w:pPr>
              <w:jc w:val="center"/>
              <w:ind w:right="121"/>
              <w:spacing w:after="0"/>
              <w:rPr>
                <w:sz w:val="20"/>
                <w:szCs w:val="20"/>
                <w:color w:val="auto"/>
              </w:rPr>
            </w:pPr>
            <w:r>
              <w:rPr>
                <w:rFonts w:ascii="Arial" w:cs="Arial" w:eastAsia="Arial" w:hAnsi="Arial"/>
                <w:sz w:val="20"/>
                <w:szCs w:val="20"/>
                <w:b w:val="1"/>
                <w:bCs w:val="1"/>
                <w:color w:val="auto"/>
                <w:w w:val="88"/>
              </w:rPr>
              <w:t>Corrected</w:t>
            </w:r>
          </w:p>
        </w:tc>
        <w:tc>
          <w:tcPr>
            <w:tcW w:w="34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jc w:val="center"/>
              <w:ind w:right="143"/>
              <w:spacing w:after="0"/>
              <w:rPr>
                <w:sz w:val="20"/>
                <w:szCs w:val="20"/>
                <w:color w:val="auto"/>
              </w:rPr>
            </w:pPr>
            <w:r>
              <w:rPr>
                <w:rFonts w:ascii="Arial" w:cs="Arial" w:eastAsia="Arial" w:hAnsi="Arial"/>
                <w:sz w:val="20"/>
                <w:szCs w:val="20"/>
                <w:b w:val="1"/>
                <w:bCs w:val="1"/>
                <w:color w:val="auto"/>
                <w:w w:val="97"/>
              </w:rPr>
              <w:t>VFCP</w:t>
            </w:r>
          </w:p>
        </w:tc>
        <w:tc>
          <w:tcPr>
            <w:tcW w:w="2520" w:type="dxa"/>
            <w:vAlign w:val="bottom"/>
            <w:tcBorders>
              <w:bottom w:val="single" w:sz="8" w:color="auto"/>
            </w:tcBorders>
            <w:gridSpan w:val="2"/>
          </w:tcPr>
          <w:p>
            <w:pPr>
              <w:jc w:val="right"/>
              <w:ind w:right="341"/>
              <w:spacing w:after="0"/>
              <w:rPr>
                <w:sz w:val="20"/>
                <w:szCs w:val="20"/>
                <w:color w:val="auto"/>
              </w:rPr>
            </w:pPr>
            <w:r>
              <w:rPr>
                <w:rFonts w:ascii="Arial" w:cs="Arial" w:eastAsia="Arial" w:hAnsi="Arial"/>
                <w:sz w:val="20"/>
                <w:szCs w:val="20"/>
                <w:b w:val="1"/>
                <w:bCs w:val="1"/>
                <w:color w:val="auto"/>
              </w:rPr>
              <w:t>Correction in VFCP</w:t>
            </w:r>
          </w:p>
        </w:tc>
        <w:tc>
          <w:tcPr>
            <w:tcW w:w="140" w:type="dxa"/>
            <w:vAlign w:val="bottom"/>
            <w:tcBorders>
              <w:bottom w:val="single" w:sz="8" w:color="auto"/>
            </w:tcBorders>
          </w:tcPr>
          <w:p>
            <w:pPr>
              <w:spacing w:after="0"/>
              <w:rPr>
                <w:sz w:val="24"/>
                <w:szCs w:val="24"/>
                <w:color w:val="auto"/>
              </w:rPr>
            </w:pPr>
          </w:p>
        </w:tc>
        <w:tc>
          <w:tcPr>
            <w:tcW w:w="2000" w:type="dxa"/>
            <w:vAlign w:val="bottom"/>
            <w:tcBorders>
              <w:bottom w:val="single" w:sz="8" w:color="auto"/>
            </w:tcBorders>
          </w:tcPr>
          <w:p>
            <w:pPr>
              <w:jc w:val="center"/>
              <w:ind w:right="41"/>
              <w:spacing w:after="0"/>
              <w:rPr>
                <w:sz w:val="20"/>
                <w:szCs w:val="20"/>
                <w:color w:val="auto"/>
              </w:rPr>
            </w:pPr>
            <w:r>
              <w:rPr>
                <w:rFonts w:ascii="Arial" w:cs="Arial" w:eastAsia="Arial" w:hAnsi="Arial"/>
                <w:sz w:val="20"/>
                <w:szCs w:val="20"/>
                <w:b w:val="1"/>
                <w:bCs w:val="1"/>
                <w:color w:val="auto"/>
                <w:w w:val="89"/>
              </w:rPr>
              <w:t>2002-51</w:t>
            </w:r>
          </w:p>
        </w:tc>
      </w:tr>
      <w:tr>
        <w:trPr>
          <w:trHeight w:val="258"/>
        </w:trPr>
        <w:tc>
          <w:tcPr>
            <w:tcW w:w="160" w:type="dxa"/>
            <w:vAlign w:val="bottom"/>
          </w:tcPr>
          <w:p>
            <w:pPr>
              <w:jc w:val="right"/>
              <w:spacing w:after="0"/>
              <w:rPr>
                <w:sz w:val="20"/>
                <w:szCs w:val="20"/>
                <w:color w:val="auto"/>
              </w:rPr>
            </w:pPr>
            <w:r>
              <w:rPr>
                <w:rFonts w:ascii="Arial" w:cs="Arial" w:eastAsia="Arial" w:hAnsi="Arial"/>
                <w:sz w:val="20"/>
                <w:szCs w:val="20"/>
                <w:color w:val="auto"/>
              </w:rPr>
              <w:t>$</w:t>
            </w:r>
          </w:p>
        </w:tc>
        <w:tc>
          <w:tcPr>
            <w:tcW w:w="2040" w:type="dxa"/>
            <w:vAlign w:val="bottom"/>
            <w:gridSpan w:val="2"/>
          </w:tcPr>
          <w:p>
            <w:pPr>
              <w:jc w:val="right"/>
              <w:ind w:right="180"/>
              <w:spacing w:after="0"/>
              <w:rPr>
                <w:sz w:val="20"/>
                <w:szCs w:val="20"/>
                <w:color w:val="auto"/>
              </w:rPr>
            </w:pPr>
            <w:r>
              <w:rPr>
                <w:rFonts w:ascii="Arial" w:cs="Arial" w:eastAsia="Arial" w:hAnsi="Arial"/>
                <w:sz w:val="20"/>
                <w:szCs w:val="20"/>
                <w:color w:val="auto"/>
              </w:rPr>
              <w:t>987  *</w:t>
            </w:r>
          </w:p>
        </w:tc>
        <w:tc>
          <w:tcPr>
            <w:tcW w:w="300" w:type="dxa"/>
            <w:vAlign w:val="bottom"/>
          </w:tcPr>
          <w:p>
            <w:pPr>
              <w:jc w:val="right"/>
              <w:spacing w:after="0"/>
              <w:rPr>
                <w:sz w:val="20"/>
                <w:szCs w:val="20"/>
                <w:color w:val="auto"/>
              </w:rPr>
            </w:pPr>
            <w:r>
              <w:rPr>
                <w:rFonts w:ascii="Arial" w:cs="Arial" w:eastAsia="Arial" w:hAnsi="Arial"/>
                <w:sz w:val="20"/>
                <w:szCs w:val="20"/>
                <w:color w:val="auto"/>
              </w:rPr>
              <w:t>$</w:t>
            </w:r>
          </w:p>
        </w:tc>
        <w:tc>
          <w:tcPr>
            <w:tcW w:w="1820" w:type="dxa"/>
            <w:vAlign w:val="bottom"/>
          </w:tcPr>
          <w:p>
            <w:pPr>
              <w:ind w:left="1460"/>
              <w:spacing w:after="0"/>
              <w:rPr>
                <w:sz w:val="20"/>
                <w:szCs w:val="20"/>
                <w:color w:val="auto"/>
              </w:rPr>
            </w:pPr>
            <w:r>
              <w:rPr>
                <w:rFonts w:ascii="Arial" w:cs="Arial" w:eastAsia="Arial" w:hAnsi="Arial"/>
                <w:sz w:val="20"/>
                <w:szCs w:val="20"/>
                <w:color w:val="auto"/>
              </w:rPr>
              <w:t>—</w:t>
            </w:r>
          </w:p>
        </w:tc>
        <w:tc>
          <w:tcPr>
            <w:tcW w:w="340" w:type="dxa"/>
            <w:vAlign w:val="bottom"/>
          </w:tcPr>
          <w:p>
            <w:pPr>
              <w:jc w:val="right"/>
              <w:spacing w:after="0"/>
              <w:rPr>
                <w:sz w:val="20"/>
                <w:szCs w:val="20"/>
                <w:color w:val="auto"/>
              </w:rPr>
            </w:pPr>
            <w:r>
              <w:rPr>
                <w:rFonts w:ascii="Arial" w:cs="Arial" w:eastAsia="Arial" w:hAnsi="Arial"/>
                <w:sz w:val="20"/>
                <w:szCs w:val="20"/>
                <w:color w:val="auto"/>
              </w:rPr>
              <w:t>$</w:t>
            </w:r>
          </w:p>
        </w:tc>
        <w:tc>
          <w:tcPr>
            <w:tcW w:w="1920" w:type="dxa"/>
            <w:vAlign w:val="bottom"/>
          </w:tcPr>
          <w:p>
            <w:pPr>
              <w:jc w:val="right"/>
              <w:ind w:right="83"/>
              <w:spacing w:after="0"/>
              <w:rPr>
                <w:sz w:val="20"/>
                <w:szCs w:val="20"/>
                <w:color w:val="auto"/>
              </w:rPr>
            </w:pPr>
            <w:r>
              <w:rPr>
                <w:rFonts w:ascii="Arial" w:cs="Arial" w:eastAsia="Arial" w:hAnsi="Arial"/>
                <w:sz w:val="20"/>
                <w:szCs w:val="20"/>
                <w:color w:val="auto"/>
              </w:rPr>
              <w:t>987</w:t>
            </w:r>
          </w:p>
        </w:tc>
        <w:tc>
          <w:tcPr>
            <w:tcW w:w="1820" w:type="dxa"/>
            <w:vAlign w:val="bottom"/>
          </w:tcPr>
          <w:p>
            <w:pPr>
              <w:jc w:val="right"/>
              <w:ind w:right="1441"/>
              <w:spacing w:after="0"/>
              <w:rPr>
                <w:sz w:val="20"/>
                <w:szCs w:val="20"/>
                <w:color w:val="auto"/>
              </w:rPr>
            </w:pPr>
            <w:r>
              <w:rPr>
                <w:rFonts w:ascii="Arial" w:cs="Arial" w:eastAsia="Arial" w:hAnsi="Arial"/>
                <w:sz w:val="20"/>
                <w:szCs w:val="20"/>
                <w:color w:val="auto"/>
              </w:rPr>
              <w:t>$</w:t>
            </w:r>
          </w:p>
        </w:tc>
        <w:tc>
          <w:tcPr>
            <w:tcW w:w="700" w:type="dxa"/>
            <w:vAlign w:val="bottom"/>
          </w:tcPr>
          <w:p>
            <w:pPr>
              <w:jc w:val="right"/>
              <w:ind w:right="241"/>
              <w:spacing w:after="0"/>
              <w:rPr>
                <w:sz w:val="20"/>
                <w:szCs w:val="20"/>
                <w:color w:val="auto"/>
              </w:rPr>
            </w:pPr>
            <w:r>
              <w:rPr>
                <w:rFonts w:ascii="Arial" w:cs="Arial" w:eastAsia="Arial" w:hAnsi="Arial"/>
                <w:sz w:val="20"/>
                <w:szCs w:val="20"/>
                <w:color w:val="auto"/>
              </w:rPr>
              <w:t>—</w:t>
            </w:r>
          </w:p>
        </w:tc>
        <w:tc>
          <w:tcPr>
            <w:tcW w:w="140" w:type="dxa"/>
            <w:vAlign w:val="bottom"/>
          </w:tcPr>
          <w:p>
            <w:pPr>
              <w:jc w:val="right"/>
              <w:spacing w:after="0"/>
              <w:rPr>
                <w:sz w:val="20"/>
                <w:szCs w:val="20"/>
                <w:color w:val="auto"/>
              </w:rPr>
            </w:pPr>
            <w:r>
              <w:rPr>
                <w:rFonts w:ascii="Arial" w:cs="Arial" w:eastAsia="Arial" w:hAnsi="Arial"/>
                <w:sz w:val="20"/>
                <w:szCs w:val="20"/>
                <w:color w:val="auto"/>
                <w:w w:val="89"/>
              </w:rPr>
              <w:t>$</w:t>
            </w:r>
          </w:p>
        </w:tc>
        <w:tc>
          <w:tcPr>
            <w:tcW w:w="2000" w:type="dxa"/>
            <w:vAlign w:val="bottom"/>
          </w:tcPr>
          <w:p>
            <w:pPr>
              <w:ind w:left="1700"/>
              <w:spacing w:after="0"/>
              <w:rPr>
                <w:sz w:val="20"/>
                <w:szCs w:val="20"/>
                <w:color w:val="auto"/>
              </w:rPr>
            </w:pPr>
            <w:r>
              <w:rPr>
                <w:rFonts w:ascii="Arial" w:cs="Arial" w:eastAsia="Arial" w:hAnsi="Arial"/>
                <w:sz w:val="20"/>
                <w:szCs w:val="20"/>
                <w:color w:val="auto"/>
              </w:rPr>
              <w:t>—</w:t>
            </w:r>
          </w:p>
        </w:tc>
      </w:tr>
      <w:tr>
        <w:trPr>
          <w:trHeight w:val="225"/>
        </w:trPr>
        <w:tc>
          <w:tcPr>
            <w:tcW w:w="4320" w:type="dxa"/>
            <w:vAlign w:val="bottom"/>
            <w:gridSpan w:val="5"/>
          </w:tcPr>
          <w:p>
            <w:pPr>
              <w:spacing w:after="0"/>
              <w:rPr>
                <w:sz w:val="20"/>
                <w:szCs w:val="20"/>
                <w:color w:val="auto"/>
              </w:rPr>
            </w:pPr>
            <w:r>
              <w:rPr>
                <w:rFonts w:ascii="Arial" w:cs="Arial" w:eastAsia="Arial" w:hAnsi="Arial"/>
                <w:sz w:val="18"/>
                <w:szCs w:val="18"/>
                <w:color w:val="auto"/>
              </w:rPr>
              <w:t>_______________________________________</w:t>
            </w:r>
          </w:p>
        </w:tc>
        <w:tc>
          <w:tcPr>
            <w:tcW w:w="340" w:type="dxa"/>
            <w:vAlign w:val="bottom"/>
          </w:tcPr>
          <w:p>
            <w:pPr>
              <w:spacing w:after="0"/>
              <w:rPr>
                <w:sz w:val="19"/>
                <w:szCs w:val="19"/>
                <w:color w:val="auto"/>
              </w:rPr>
            </w:pPr>
          </w:p>
        </w:tc>
        <w:tc>
          <w:tcPr>
            <w:tcW w:w="192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0" w:type="dxa"/>
            <w:vAlign w:val="bottom"/>
          </w:tcPr>
          <w:p>
            <w:pPr>
              <w:spacing w:after="0"/>
              <w:rPr>
                <w:sz w:val="19"/>
                <w:szCs w:val="19"/>
                <w:color w:val="auto"/>
              </w:rPr>
            </w:pPr>
          </w:p>
        </w:tc>
      </w:tr>
      <w:tr>
        <w:trPr>
          <w:trHeight w:val="230"/>
        </w:trPr>
        <w:tc>
          <w:tcPr>
            <w:tcW w:w="8400" w:type="dxa"/>
            <w:vAlign w:val="bottom"/>
            <w:gridSpan w:val="8"/>
          </w:tcPr>
          <w:p>
            <w:pPr>
              <w:spacing w:after="0"/>
              <w:rPr>
                <w:sz w:val="20"/>
                <w:szCs w:val="20"/>
                <w:color w:val="auto"/>
              </w:rPr>
            </w:pPr>
            <w:r>
              <w:rPr>
                <w:rFonts w:ascii="Arial" w:cs="Arial" w:eastAsia="Arial" w:hAnsi="Arial"/>
                <w:sz w:val="18"/>
                <w:szCs w:val="18"/>
                <w:color w:val="auto"/>
                <w:w w:val="93"/>
              </w:rPr>
              <w:t>*Amount represents 2018 employee contributions and loan repayments which were not fully corrected until 2019.</w:t>
            </w:r>
          </w:p>
        </w:tc>
        <w:tc>
          <w:tcPr>
            <w:tcW w:w="7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0" w:type="dxa"/>
            <w:vAlign w:val="bottom"/>
          </w:tcPr>
          <w:p>
            <w:pPr>
              <w:spacing w:after="0"/>
              <w:rPr>
                <w:sz w:val="20"/>
                <w:szCs w:val="20"/>
                <w:color w:val="auto"/>
              </w:rPr>
            </w:pPr>
          </w:p>
        </w:tc>
      </w:tr>
      <w:tr>
        <w:trPr>
          <w:trHeight w:val="648"/>
        </w:trPr>
        <w:tc>
          <w:tcPr>
            <w:tcW w:w="16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920" w:type="dxa"/>
            <w:vAlign w:val="bottom"/>
          </w:tcPr>
          <w:p>
            <w:pPr>
              <w:jc w:val="right"/>
              <w:ind w:right="763"/>
              <w:spacing w:after="0"/>
              <w:rPr>
                <w:sz w:val="20"/>
                <w:szCs w:val="20"/>
                <w:color w:val="auto"/>
              </w:rPr>
            </w:pPr>
            <w:r>
              <w:rPr>
                <w:rFonts w:ascii="Arial" w:cs="Arial" w:eastAsia="Arial" w:hAnsi="Arial"/>
                <w:sz w:val="18"/>
                <w:szCs w:val="18"/>
                <w:color w:val="auto"/>
              </w:rPr>
              <w:t>12</w:t>
            </w:r>
          </w:p>
        </w:tc>
        <w:tc>
          <w:tcPr>
            <w:tcW w:w="18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0" w:type="dxa"/>
            <w:vAlign w:val="bottom"/>
          </w:tcPr>
          <w:p>
            <w:pPr>
              <w:spacing w:after="0"/>
              <w:rPr>
                <w:sz w:val="24"/>
                <w:szCs w:val="24"/>
                <w:color w:val="auto"/>
              </w:rPr>
            </w:pPr>
          </w:p>
        </w:tc>
      </w:tr>
    </w:tbl>
    <w:p>
      <w:pPr>
        <w:sectPr>
          <w:pgSz w:w="11900" w:h="16838" w:orient="portrait"/>
          <w:cols w:equalWidth="0" w:num="1">
            <w:col w:w="11240"/>
          </w:cols>
          <w:pgMar w:left="320" w:top="994" w:right="339" w:bottom="1440" w:gutter="0" w:footer="0" w:header="0"/>
        </w:sectPr>
      </w:pPr>
    </w:p>
    <w:bookmarkStart w:id="19" w:name="page20"/>
    <w:bookmarkEnd w:id="19"/>
    <w:p>
      <w:pPr>
        <w:spacing w:after="0"/>
        <w:rPr>
          <w:sz w:val="20"/>
          <w:szCs w:val="20"/>
          <w:color w:val="auto"/>
        </w:rPr>
      </w:pPr>
      <w:r>
        <w:rPr>
          <w:rFonts w:ascii="Arial" w:cs="Arial" w:eastAsia="Arial" w:hAnsi="Arial"/>
          <w:sz w:val="20"/>
          <w:szCs w:val="20"/>
          <w:b w:val="1"/>
          <w:bCs w:val="1"/>
          <w:color w:val="auto"/>
        </w:rPr>
        <w:t>FLOWSERVE CORPORATION</w:t>
      </w:r>
    </w:p>
    <w:p>
      <w:pPr>
        <w:spacing w:after="0" w:line="2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RETIREMENT SAVINGS PLAN</w:t>
      </w:r>
    </w:p>
    <w:p>
      <w:pPr>
        <w:spacing w:after="0" w:line="200" w:lineRule="exact"/>
        <w:rPr>
          <w:sz w:val="20"/>
          <w:szCs w:val="20"/>
          <w:color w:val="auto"/>
        </w:rPr>
      </w:pPr>
    </w:p>
    <w:p>
      <w:pPr>
        <w:spacing w:after="0"/>
        <w:rPr>
          <w:sz w:val="20"/>
          <w:szCs w:val="20"/>
          <w:color w:val="auto"/>
        </w:rPr>
      </w:pPr>
      <w:r>
        <w:rPr>
          <w:rFonts w:ascii="Arial" w:cs="Arial" w:eastAsia="Arial" w:hAnsi="Arial"/>
          <w:sz w:val="20"/>
          <w:szCs w:val="20"/>
          <w:color w:val="auto"/>
        </w:rPr>
        <w:t>I.R.S. Employer Identification Number: 31-0267900</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Plan No. 008</w:t>
      </w:r>
    </w:p>
    <w:p>
      <w:pPr>
        <w:spacing w:after="0" w:line="200" w:lineRule="exact"/>
        <w:rPr>
          <w:sz w:val="20"/>
          <w:szCs w:val="20"/>
          <w:color w:val="auto"/>
        </w:rPr>
      </w:pPr>
    </w:p>
    <w:p>
      <w:pPr>
        <w:spacing w:after="0" w:line="33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FORM 5500, SCHEDULE H, LINE 4i — SCHEDULE OF ASSETS (HELD AT END OF YEAR) AS OF DECEMBER 31, 2019</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420" w:type="dxa"/>
            <w:vAlign w:val="bottom"/>
          </w:tcPr>
          <w:p>
            <w:pPr>
              <w:spacing w:after="0"/>
              <w:rPr>
                <w:sz w:val="22"/>
                <w:szCs w:val="22"/>
                <w:color w:val="auto"/>
              </w:rPr>
            </w:pPr>
          </w:p>
        </w:tc>
        <w:tc>
          <w:tcPr>
            <w:tcW w:w="4460" w:type="dxa"/>
            <w:vAlign w:val="bottom"/>
          </w:tcPr>
          <w:p>
            <w:pPr>
              <w:spacing w:after="0"/>
              <w:rPr>
                <w:sz w:val="22"/>
                <w:szCs w:val="22"/>
                <w:color w:val="auto"/>
              </w:rPr>
            </w:pPr>
          </w:p>
        </w:tc>
        <w:tc>
          <w:tcPr>
            <w:tcW w:w="3720" w:type="dxa"/>
            <w:vAlign w:val="bottom"/>
          </w:tcPr>
          <w:p>
            <w:pPr>
              <w:jc w:val="center"/>
              <w:ind w:left="561"/>
              <w:spacing w:after="0"/>
              <w:rPr>
                <w:sz w:val="20"/>
                <w:szCs w:val="20"/>
                <w:color w:val="auto"/>
              </w:rPr>
            </w:pPr>
            <w:r>
              <w:rPr>
                <w:rFonts w:ascii="Arial" w:cs="Arial" w:eastAsia="Arial" w:hAnsi="Arial"/>
                <w:sz w:val="20"/>
                <w:szCs w:val="20"/>
                <w:b w:val="1"/>
                <w:bCs w:val="1"/>
                <w:color w:val="auto"/>
                <w:w w:val="89"/>
              </w:rPr>
              <w:t>(c)</w:t>
            </w:r>
          </w:p>
        </w:tc>
        <w:tc>
          <w:tcPr>
            <w:tcW w:w="9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420" w:type="dxa"/>
            <w:vAlign w:val="bottom"/>
          </w:tcPr>
          <w:p>
            <w:pPr>
              <w:spacing w:after="0"/>
              <w:rPr>
                <w:sz w:val="22"/>
                <w:szCs w:val="22"/>
                <w:color w:val="auto"/>
              </w:rPr>
            </w:pPr>
          </w:p>
        </w:tc>
      </w:tr>
      <w:tr>
        <w:trPr>
          <w:trHeight w:val="283"/>
        </w:trPr>
        <w:tc>
          <w:tcPr>
            <w:tcW w:w="420" w:type="dxa"/>
            <w:vAlign w:val="bottom"/>
          </w:tcPr>
          <w:p>
            <w:pPr>
              <w:spacing w:after="0"/>
              <w:rPr>
                <w:sz w:val="24"/>
                <w:szCs w:val="24"/>
                <w:color w:val="auto"/>
              </w:rPr>
            </w:pPr>
          </w:p>
        </w:tc>
        <w:tc>
          <w:tcPr>
            <w:tcW w:w="4460" w:type="dxa"/>
            <w:vAlign w:val="bottom"/>
          </w:tcPr>
          <w:p>
            <w:pPr>
              <w:spacing w:after="0"/>
              <w:rPr>
                <w:sz w:val="24"/>
                <w:szCs w:val="24"/>
                <w:color w:val="auto"/>
              </w:rPr>
            </w:pPr>
          </w:p>
        </w:tc>
        <w:tc>
          <w:tcPr>
            <w:tcW w:w="3720" w:type="dxa"/>
            <w:vAlign w:val="bottom"/>
          </w:tcPr>
          <w:p>
            <w:pPr>
              <w:jc w:val="center"/>
              <w:ind w:left="561"/>
              <w:spacing w:after="0"/>
              <w:rPr>
                <w:sz w:val="20"/>
                <w:szCs w:val="20"/>
                <w:color w:val="auto"/>
              </w:rPr>
            </w:pPr>
            <w:r>
              <w:rPr>
                <w:rFonts w:ascii="Arial" w:cs="Arial" w:eastAsia="Arial" w:hAnsi="Arial"/>
                <w:sz w:val="20"/>
                <w:szCs w:val="20"/>
                <w:b w:val="1"/>
                <w:bCs w:val="1"/>
                <w:color w:val="auto"/>
                <w:w w:val="88"/>
              </w:rPr>
              <w:t>Description of Investment</w:t>
            </w:r>
          </w:p>
        </w:tc>
        <w:tc>
          <w:tcPr>
            <w:tcW w:w="9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20" w:type="dxa"/>
            <w:vAlign w:val="bottom"/>
          </w:tcPr>
          <w:p>
            <w:pPr>
              <w:spacing w:after="0"/>
              <w:rPr>
                <w:sz w:val="24"/>
                <w:szCs w:val="24"/>
                <w:color w:val="auto"/>
              </w:rPr>
            </w:pPr>
          </w:p>
        </w:tc>
      </w:tr>
      <w:tr>
        <w:trPr>
          <w:trHeight w:val="283"/>
        </w:trPr>
        <w:tc>
          <w:tcPr>
            <w:tcW w:w="420" w:type="dxa"/>
            <w:vAlign w:val="bottom"/>
          </w:tcPr>
          <w:p>
            <w:pPr>
              <w:spacing w:after="0"/>
              <w:rPr>
                <w:sz w:val="24"/>
                <w:szCs w:val="24"/>
                <w:color w:val="auto"/>
              </w:rPr>
            </w:pPr>
          </w:p>
        </w:tc>
        <w:tc>
          <w:tcPr>
            <w:tcW w:w="4460" w:type="dxa"/>
            <w:vAlign w:val="bottom"/>
          </w:tcPr>
          <w:p>
            <w:pPr>
              <w:jc w:val="center"/>
              <w:ind w:left="441"/>
              <w:spacing w:after="0"/>
              <w:rPr>
                <w:sz w:val="20"/>
                <w:szCs w:val="20"/>
                <w:color w:val="auto"/>
              </w:rPr>
            </w:pPr>
            <w:r>
              <w:rPr>
                <w:rFonts w:ascii="Arial" w:cs="Arial" w:eastAsia="Arial" w:hAnsi="Arial"/>
                <w:sz w:val="20"/>
                <w:szCs w:val="20"/>
                <w:b w:val="1"/>
                <w:bCs w:val="1"/>
                <w:color w:val="auto"/>
                <w:w w:val="93"/>
              </w:rPr>
              <w:t>(b)</w:t>
            </w:r>
          </w:p>
        </w:tc>
        <w:tc>
          <w:tcPr>
            <w:tcW w:w="3720" w:type="dxa"/>
            <w:vAlign w:val="bottom"/>
          </w:tcPr>
          <w:p>
            <w:pPr>
              <w:jc w:val="center"/>
              <w:ind w:left="581"/>
              <w:spacing w:after="0"/>
              <w:rPr>
                <w:sz w:val="20"/>
                <w:szCs w:val="20"/>
                <w:color w:val="auto"/>
              </w:rPr>
            </w:pPr>
            <w:r>
              <w:rPr>
                <w:rFonts w:ascii="Arial" w:cs="Arial" w:eastAsia="Arial" w:hAnsi="Arial"/>
                <w:sz w:val="20"/>
                <w:szCs w:val="20"/>
                <w:b w:val="1"/>
                <w:bCs w:val="1"/>
                <w:color w:val="auto"/>
                <w:w w:val="93"/>
              </w:rPr>
              <w:t>Including Maturity Date,</w:t>
            </w:r>
          </w:p>
        </w:tc>
        <w:tc>
          <w:tcPr>
            <w:tcW w:w="9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20" w:type="dxa"/>
            <w:vAlign w:val="bottom"/>
          </w:tcPr>
          <w:p>
            <w:pPr>
              <w:jc w:val="center"/>
              <w:ind w:right="181"/>
              <w:spacing w:after="0"/>
              <w:rPr>
                <w:sz w:val="20"/>
                <w:szCs w:val="20"/>
                <w:color w:val="auto"/>
              </w:rPr>
            </w:pPr>
            <w:r>
              <w:rPr>
                <w:rFonts w:ascii="Arial" w:cs="Arial" w:eastAsia="Arial" w:hAnsi="Arial"/>
                <w:sz w:val="20"/>
                <w:szCs w:val="20"/>
                <w:b w:val="1"/>
                <w:bCs w:val="1"/>
                <w:color w:val="auto"/>
                <w:w w:val="89"/>
              </w:rPr>
              <w:t>(e)</w:t>
            </w:r>
          </w:p>
        </w:tc>
      </w:tr>
      <w:tr>
        <w:trPr>
          <w:trHeight w:val="283"/>
        </w:trPr>
        <w:tc>
          <w:tcPr>
            <w:tcW w:w="420" w:type="dxa"/>
            <w:vAlign w:val="bottom"/>
          </w:tcPr>
          <w:p>
            <w:pPr>
              <w:spacing w:after="0"/>
              <w:rPr>
                <w:sz w:val="24"/>
                <w:szCs w:val="24"/>
                <w:color w:val="auto"/>
              </w:rPr>
            </w:pPr>
          </w:p>
        </w:tc>
        <w:tc>
          <w:tcPr>
            <w:tcW w:w="4460" w:type="dxa"/>
            <w:vAlign w:val="bottom"/>
          </w:tcPr>
          <w:p>
            <w:pPr>
              <w:jc w:val="center"/>
              <w:ind w:left="441"/>
              <w:spacing w:after="0"/>
              <w:rPr>
                <w:sz w:val="20"/>
                <w:szCs w:val="20"/>
                <w:color w:val="auto"/>
              </w:rPr>
            </w:pPr>
            <w:r>
              <w:rPr>
                <w:rFonts w:ascii="Arial" w:cs="Arial" w:eastAsia="Arial" w:hAnsi="Arial"/>
                <w:sz w:val="20"/>
                <w:szCs w:val="20"/>
                <w:b w:val="1"/>
                <w:bCs w:val="1"/>
                <w:color w:val="auto"/>
                <w:w w:val="89"/>
              </w:rPr>
              <w:t>Identity of Issue, Borrower,</w:t>
            </w:r>
          </w:p>
        </w:tc>
        <w:tc>
          <w:tcPr>
            <w:tcW w:w="3720" w:type="dxa"/>
            <w:vAlign w:val="bottom"/>
          </w:tcPr>
          <w:p>
            <w:pPr>
              <w:jc w:val="center"/>
              <w:ind w:left="581"/>
              <w:spacing w:after="0"/>
              <w:rPr>
                <w:sz w:val="20"/>
                <w:szCs w:val="20"/>
                <w:color w:val="auto"/>
              </w:rPr>
            </w:pPr>
            <w:r>
              <w:rPr>
                <w:rFonts w:ascii="Arial" w:cs="Arial" w:eastAsia="Arial" w:hAnsi="Arial"/>
                <w:sz w:val="20"/>
                <w:szCs w:val="20"/>
                <w:b w:val="1"/>
                <w:bCs w:val="1"/>
                <w:color w:val="auto"/>
                <w:w w:val="91"/>
              </w:rPr>
              <w:t>Rate of Interest, Collateral,</w:t>
            </w:r>
          </w:p>
        </w:tc>
        <w:tc>
          <w:tcPr>
            <w:tcW w:w="940" w:type="dxa"/>
            <w:vAlign w:val="bottom"/>
          </w:tcPr>
          <w:p>
            <w:pPr>
              <w:jc w:val="center"/>
              <w:ind w:left="41"/>
              <w:spacing w:after="0"/>
              <w:rPr>
                <w:sz w:val="20"/>
                <w:szCs w:val="20"/>
                <w:color w:val="auto"/>
              </w:rPr>
            </w:pPr>
            <w:r>
              <w:rPr>
                <w:rFonts w:ascii="Arial" w:cs="Arial" w:eastAsia="Arial" w:hAnsi="Arial"/>
                <w:sz w:val="20"/>
                <w:szCs w:val="20"/>
                <w:b w:val="1"/>
                <w:bCs w:val="1"/>
                <w:color w:val="auto"/>
                <w:w w:val="93"/>
              </w:rPr>
              <w:t>(d)</w:t>
            </w:r>
          </w:p>
        </w:tc>
        <w:tc>
          <w:tcPr>
            <w:tcW w:w="280" w:type="dxa"/>
            <w:vAlign w:val="bottom"/>
          </w:tcPr>
          <w:p>
            <w:pPr>
              <w:spacing w:after="0"/>
              <w:rPr>
                <w:sz w:val="24"/>
                <w:szCs w:val="24"/>
                <w:color w:val="auto"/>
              </w:rPr>
            </w:pPr>
          </w:p>
        </w:tc>
        <w:tc>
          <w:tcPr>
            <w:tcW w:w="1420" w:type="dxa"/>
            <w:vAlign w:val="bottom"/>
          </w:tcPr>
          <w:p>
            <w:pPr>
              <w:jc w:val="center"/>
              <w:ind w:right="181"/>
              <w:spacing w:after="0"/>
              <w:rPr>
                <w:sz w:val="20"/>
                <w:szCs w:val="20"/>
                <w:color w:val="auto"/>
              </w:rPr>
            </w:pPr>
            <w:r>
              <w:rPr>
                <w:rFonts w:ascii="Arial" w:cs="Arial" w:eastAsia="Arial" w:hAnsi="Arial"/>
                <w:sz w:val="20"/>
                <w:szCs w:val="20"/>
                <w:b w:val="1"/>
                <w:bCs w:val="1"/>
                <w:color w:val="auto"/>
                <w:w w:val="96"/>
              </w:rPr>
              <w:t>Current</w:t>
            </w:r>
          </w:p>
        </w:tc>
      </w:tr>
      <w:tr>
        <w:trPr>
          <w:trHeight w:val="283"/>
        </w:trPr>
        <w:tc>
          <w:tcPr>
            <w:tcW w:w="420" w:type="dxa"/>
            <w:vAlign w:val="bottom"/>
          </w:tcPr>
          <w:p>
            <w:pPr>
              <w:ind w:left="120"/>
              <w:spacing w:after="0"/>
              <w:rPr>
                <w:sz w:val="20"/>
                <w:szCs w:val="20"/>
                <w:color w:val="auto"/>
              </w:rPr>
            </w:pPr>
            <w:r>
              <w:rPr>
                <w:rFonts w:ascii="Arial" w:cs="Arial" w:eastAsia="Arial" w:hAnsi="Arial"/>
                <w:sz w:val="20"/>
                <w:szCs w:val="20"/>
                <w:b w:val="1"/>
                <w:bCs w:val="1"/>
                <w:color w:val="auto"/>
              </w:rPr>
              <w:t>(a)</w:t>
            </w:r>
          </w:p>
        </w:tc>
        <w:tc>
          <w:tcPr>
            <w:tcW w:w="4460" w:type="dxa"/>
            <w:vAlign w:val="bottom"/>
          </w:tcPr>
          <w:p>
            <w:pPr>
              <w:jc w:val="center"/>
              <w:ind w:left="441"/>
              <w:spacing w:after="0"/>
              <w:rPr>
                <w:sz w:val="20"/>
                <w:szCs w:val="20"/>
                <w:color w:val="auto"/>
              </w:rPr>
            </w:pPr>
            <w:r>
              <w:rPr>
                <w:rFonts w:ascii="Arial" w:cs="Arial" w:eastAsia="Arial" w:hAnsi="Arial"/>
                <w:sz w:val="20"/>
                <w:szCs w:val="20"/>
                <w:b w:val="1"/>
                <w:bCs w:val="1"/>
                <w:color w:val="auto"/>
                <w:w w:val="91"/>
              </w:rPr>
              <w:t>Lessor or Similar Party</w:t>
            </w:r>
          </w:p>
        </w:tc>
        <w:tc>
          <w:tcPr>
            <w:tcW w:w="3720" w:type="dxa"/>
            <w:vAlign w:val="bottom"/>
          </w:tcPr>
          <w:p>
            <w:pPr>
              <w:jc w:val="center"/>
              <w:ind w:left="581"/>
              <w:spacing w:after="0"/>
              <w:rPr>
                <w:sz w:val="20"/>
                <w:szCs w:val="20"/>
                <w:color w:val="auto"/>
              </w:rPr>
            </w:pPr>
            <w:r>
              <w:rPr>
                <w:rFonts w:ascii="Arial" w:cs="Arial" w:eastAsia="Arial" w:hAnsi="Arial"/>
                <w:sz w:val="20"/>
                <w:szCs w:val="20"/>
                <w:b w:val="1"/>
                <w:bCs w:val="1"/>
                <w:color w:val="auto"/>
                <w:w w:val="93"/>
              </w:rPr>
              <w:t>Par, or Maturity Value</w:t>
            </w:r>
          </w:p>
        </w:tc>
        <w:tc>
          <w:tcPr>
            <w:tcW w:w="940" w:type="dxa"/>
            <w:vAlign w:val="bottom"/>
          </w:tcPr>
          <w:p>
            <w:pPr>
              <w:jc w:val="center"/>
              <w:ind w:left="61"/>
              <w:spacing w:after="0"/>
              <w:rPr>
                <w:sz w:val="20"/>
                <w:szCs w:val="20"/>
                <w:color w:val="auto"/>
              </w:rPr>
            </w:pPr>
            <w:r>
              <w:rPr>
                <w:rFonts w:ascii="Arial" w:cs="Arial" w:eastAsia="Arial" w:hAnsi="Arial"/>
                <w:sz w:val="20"/>
                <w:szCs w:val="20"/>
                <w:b w:val="1"/>
                <w:bCs w:val="1"/>
                <w:color w:val="auto"/>
                <w:w w:val="85"/>
              </w:rPr>
              <w:t>Cost</w:t>
            </w:r>
          </w:p>
        </w:tc>
        <w:tc>
          <w:tcPr>
            <w:tcW w:w="280" w:type="dxa"/>
            <w:vAlign w:val="bottom"/>
          </w:tcPr>
          <w:p>
            <w:pPr>
              <w:spacing w:after="0"/>
              <w:rPr>
                <w:sz w:val="24"/>
                <w:szCs w:val="24"/>
                <w:color w:val="auto"/>
              </w:rPr>
            </w:pPr>
          </w:p>
        </w:tc>
        <w:tc>
          <w:tcPr>
            <w:tcW w:w="1420" w:type="dxa"/>
            <w:vAlign w:val="bottom"/>
          </w:tcPr>
          <w:p>
            <w:pPr>
              <w:jc w:val="center"/>
              <w:ind w:right="181"/>
              <w:spacing w:after="0"/>
              <w:rPr>
                <w:sz w:val="20"/>
                <w:szCs w:val="20"/>
                <w:color w:val="auto"/>
              </w:rPr>
            </w:pPr>
            <w:r>
              <w:rPr>
                <w:rFonts w:ascii="Arial" w:cs="Arial" w:eastAsia="Arial" w:hAnsi="Arial"/>
                <w:sz w:val="20"/>
                <w:szCs w:val="20"/>
                <w:b w:val="1"/>
                <w:bCs w:val="1"/>
                <w:color w:val="auto"/>
                <w:w w:val="86"/>
              </w:rPr>
              <w:t>Value</w:t>
            </w:r>
          </w:p>
        </w:tc>
      </w:tr>
      <w:tr>
        <w:trPr>
          <w:trHeight w:val="23"/>
        </w:trPr>
        <w:tc>
          <w:tcPr>
            <w:tcW w:w="420" w:type="dxa"/>
            <w:vAlign w:val="bottom"/>
            <w:tcBorders>
              <w:bottom w:val="single" w:sz="8" w:color="auto"/>
            </w:tcBorders>
          </w:tcPr>
          <w:p>
            <w:pPr>
              <w:spacing w:after="0"/>
              <w:rPr>
                <w:sz w:val="2"/>
                <w:szCs w:val="2"/>
                <w:color w:val="auto"/>
              </w:rPr>
            </w:pPr>
          </w:p>
        </w:tc>
        <w:tc>
          <w:tcPr>
            <w:tcW w:w="4460" w:type="dxa"/>
            <w:vAlign w:val="bottom"/>
            <w:tcBorders>
              <w:bottom w:val="single" w:sz="8" w:color="auto"/>
            </w:tcBorders>
          </w:tcPr>
          <w:p>
            <w:pPr>
              <w:spacing w:after="0"/>
              <w:rPr>
                <w:sz w:val="2"/>
                <w:szCs w:val="2"/>
                <w:color w:val="auto"/>
              </w:rPr>
            </w:pPr>
          </w:p>
        </w:tc>
        <w:tc>
          <w:tcPr>
            <w:tcW w:w="37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57"/>
        </w:trPr>
        <w:tc>
          <w:tcPr>
            <w:tcW w:w="420" w:type="dxa"/>
            <w:vAlign w:val="bottom"/>
            <w:tcBorders>
              <w:bottom w:val="single" w:sz="8" w:color="CCEEFF"/>
            </w:tcBorders>
            <w:shd w:val="clear" w:color="auto" w:fill="CCEEFF"/>
          </w:tcPr>
          <w:p>
            <w:pPr>
              <w:spacing w:after="0"/>
              <w:rPr>
                <w:sz w:val="22"/>
                <w:szCs w:val="22"/>
                <w:color w:val="auto"/>
              </w:rPr>
            </w:pPr>
          </w:p>
        </w:tc>
        <w:tc>
          <w:tcPr>
            <w:tcW w:w="446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American Funds EuroPacific Growth Fund</w:t>
            </w:r>
          </w:p>
        </w:tc>
        <w:tc>
          <w:tcPr>
            <w:tcW w:w="37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20"/>
                <w:szCs w:val="20"/>
                <w:color w:val="auto"/>
              </w:rPr>
              <w:t>Registered investment company</w:t>
            </w:r>
          </w:p>
        </w:tc>
        <w:tc>
          <w:tcPr>
            <w:tcW w:w="940" w:type="dxa"/>
            <w:vAlign w:val="bottom"/>
            <w:tcBorders>
              <w:bottom w:val="single" w:sz="8" w:color="CCEEFF"/>
            </w:tcBorders>
            <w:shd w:val="clear" w:color="auto" w:fill="CCEEFF"/>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20,865,597</w:t>
            </w:r>
          </w:p>
        </w:tc>
      </w:tr>
      <w:tr>
        <w:trPr>
          <w:trHeight w:val="261"/>
        </w:trPr>
        <w:tc>
          <w:tcPr>
            <w:tcW w:w="420" w:type="dxa"/>
            <w:vAlign w:val="bottom"/>
          </w:tcPr>
          <w:p>
            <w:pPr>
              <w:spacing w:after="0"/>
              <w:rPr>
                <w:sz w:val="22"/>
                <w:szCs w:val="22"/>
                <w:color w:val="auto"/>
              </w:rPr>
            </w:pPr>
          </w:p>
        </w:tc>
        <w:tc>
          <w:tcPr>
            <w:tcW w:w="4460" w:type="dxa"/>
            <w:vAlign w:val="bottom"/>
          </w:tcPr>
          <w:p>
            <w:pPr>
              <w:ind w:left="60"/>
              <w:spacing w:after="0"/>
              <w:rPr>
                <w:sz w:val="20"/>
                <w:szCs w:val="20"/>
                <w:color w:val="auto"/>
              </w:rPr>
            </w:pPr>
            <w:r>
              <w:rPr>
                <w:rFonts w:ascii="Arial" w:cs="Arial" w:eastAsia="Arial" w:hAnsi="Arial"/>
                <w:sz w:val="20"/>
                <w:szCs w:val="20"/>
                <w:color w:val="auto"/>
              </w:rPr>
              <w:t>Pimco Total Return Institutional</w:t>
            </w:r>
          </w:p>
        </w:tc>
        <w:tc>
          <w:tcPr>
            <w:tcW w:w="3720" w:type="dxa"/>
            <w:vAlign w:val="bottom"/>
          </w:tcPr>
          <w:p>
            <w:pPr>
              <w:ind w:left="540"/>
              <w:spacing w:after="0"/>
              <w:rPr>
                <w:sz w:val="20"/>
                <w:szCs w:val="20"/>
                <w:color w:val="auto"/>
              </w:rPr>
            </w:pPr>
            <w:r>
              <w:rPr>
                <w:rFonts w:ascii="Arial" w:cs="Arial" w:eastAsia="Arial" w:hAnsi="Arial"/>
                <w:sz w:val="20"/>
                <w:szCs w:val="20"/>
                <w:color w:val="auto"/>
              </w:rPr>
              <w:t>Registered investment company</w:t>
            </w:r>
          </w:p>
        </w:tc>
        <w:tc>
          <w:tcPr>
            <w:tcW w:w="940" w:type="dxa"/>
            <w:vAlign w:val="bottom"/>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8,439,622</w:t>
            </w:r>
          </w:p>
        </w:tc>
      </w:tr>
      <w:tr>
        <w:trPr>
          <w:trHeight w:val="23"/>
        </w:trPr>
        <w:tc>
          <w:tcPr>
            <w:tcW w:w="4880" w:type="dxa"/>
            <w:vAlign w:val="bottom"/>
            <w:gridSpan w:val="2"/>
          </w:tcPr>
          <w:p>
            <w:pPr>
              <w:spacing w:after="0"/>
              <w:rPr>
                <w:sz w:val="2"/>
                <w:szCs w:val="2"/>
                <w:color w:val="auto"/>
              </w:rPr>
            </w:pPr>
          </w:p>
        </w:tc>
        <w:tc>
          <w:tcPr>
            <w:tcW w:w="3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63"/>
        </w:trPr>
        <w:tc>
          <w:tcPr>
            <w:tcW w:w="488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20"/>
                <w:szCs w:val="20"/>
                <w:b w:val="1"/>
                <w:bCs w:val="1"/>
                <w:color w:val="auto"/>
              </w:rPr>
              <w:t xml:space="preserve">*  </w:t>
            </w:r>
            <w:r>
              <w:rPr>
                <w:rFonts w:ascii="Arial" w:cs="Arial" w:eastAsia="Arial" w:hAnsi="Arial"/>
                <w:sz w:val="20"/>
                <w:szCs w:val="20"/>
                <w:color w:val="auto"/>
              </w:rPr>
              <w:t>T. Rowe Price Mid-Cap Growth Fund</w:t>
            </w:r>
          </w:p>
        </w:tc>
        <w:tc>
          <w:tcPr>
            <w:tcW w:w="37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20"/>
                <w:szCs w:val="20"/>
                <w:color w:val="auto"/>
              </w:rPr>
              <w:t>Registered investment company</w:t>
            </w:r>
          </w:p>
        </w:tc>
        <w:tc>
          <w:tcPr>
            <w:tcW w:w="940" w:type="dxa"/>
            <w:vAlign w:val="bottom"/>
            <w:tcBorders>
              <w:bottom w:val="single" w:sz="8" w:color="CCEEFF"/>
            </w:tcBorders>
            <w:shd w:val="clear" w:color="auto" w:fill="CCEEFF"/>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70,417,447</w:t>
            </w:r>
          </w:p>
        </w:tc>
      </w:tr>
      <w:tr>
        <w:trPr>
          <w:trHeight w:val="261"/>
        </w:trPr>
        <w:tc>
          <w:tcPr>
            <w:tcW w:w="420" w:type="dxa"/>
            <w:vAlign w:val="bottom"/>
          </w:tcPr>
          <w:p>
            <w:pPr>
              <w:spacing w:after="0"/>
              <w:rPr>
                <w:sz w:val="22"/>
                <w:szCs w:val="22"/>
                <w:color w:val="auto"/>
              </w:rPr>
            </w:pPr>
          </w:p>
        </w:tc>
        <w:tc>
          <w:tcPr>
            <w:tcW w:w="4460" w:type="dxa"/>
            <w:vAlign w:val="bottom"/>
          </w:tcPr>
          <w:p>
            <w:pPr>
              <w:ind w:left="60"/>
              <w:spacing w:after="0"/>
              <w:rPr>
                <w:sz w:val="20"/>
                <w:szCs w:val="20"/>
                <w:color w:val="auto"/>
              </w:rPr>
            </w:pPr>
            <w:r>
              <w:rPr>
                <w:rFonts w:ascii="Arial" w:cs="Arial" w:eastAsia="Arial" w:hAnsi="Arial"/>
                <w:sz w:val="20"/>
                <w:szCs w:val="20"/>
                <w:color w:val="auto"/>
              </w:rPr>
              <w:t>Vanguard Extended Market Index Fund</w:t>
            </w:r>
          </w:p>
        </w:tc>
        <w:tc>
          <w:tcPr>
            <w:tcW w:w="3720" w:type="dxa"/>
            <w:vAlign w:val="bottom"/>
          </w:tcPr>
          <w:p>
            <w:pPr>
              <w:ind w:left="540"/>
              <w:spacing w:after="0"/>
              <w:rPr>
                <w:sz w:val="20"/>
                <w:szCs w:val="20"/>
                <w:color w:val="auto"/>
              </w:rPr>
            </w:pPr>
            <w:r>
              <w:rPr>
                <w:rFonts w:ascii="Arial" w:cs="Arial" w:eastAsia="Arial" w:hAnsi="Arial"/>
                <w:sz w:val="20"/>
                <w:szCs w:val="20"/>
                <w:color w:val="auto"/>
              </w:rPr>
              <w:t>Registered investment company</w:t>
            </w:r>
          </w:p>
        </w:tc>
        <w:tc>
          <w:tcPr>
            <w:tcW w:w="940" w:type="dxa"/>
            <w:vAlign w:val="bottom"/>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4,561,093</w:t>
            </w:r>
          </w:p>
        </w:tc>
      </w:tr>
      <w:tr>
        <w:trPr>
          <w:trHeight w:val="23"/>
        </w:trPr>
        <w:tc>
          <w:tcPr>
            <w:tcW w:w="420" w:type="dxa"/>
            <w:vAlign w:val="bottom"/>
          </w:tcPr>
          <w:p>
            <w:pPr>
              <w:spacing w:after="0"/>
              <w:rPr>
                <w:sz w:val="2"/>
                <w:szCs w:val="2"/>
                <w:color w:val="auto"/>
              </w:rPr>
            </w:pPr>
          </w:p>
        </w:tc>
        <w:tc>
          <w:tcPr>
            <w:tcW w:w="4460" w:type="dxa"/>
            <w:vAlign w:val="bottom"/>
          </w:tcPr>
          <w:p>
            <w:pPr>
              <w:spacing w:after="0"/>
              <w:rPr>
                <w:sz w:val="2"/>
                <w:szCs w:val="2"/>
                <w:color w:val="auto"/>
              </w:rPr>
            </w:pPr>
          </w:p>
        </w:tc>
        <w:tc>
          <w:tcPr>
            <w:tcW w:w="3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64"/>
        </w:trPr>
        <w:tc>
          <w:tcPr>
            <w:tcW w:w="420" w:type="dxa"/>
            <w:vAlign w:val="bottom"/>
            <w:tcBorders>
              <w:bottom w:val="single" w:sz="8" w:color="CCEEFF"/>
            </w:tcBorders>
            <w:shd w:val="clear" w:color="auto" w:fill="CCEEFF"/>
          </w:tcPr>
          <w:p>
            <w:pPr>
              <w:spacing w:after="0"/>
              <w:rPr>
                <w:sz w:val="22"/>
                <w:szCs w:val="22"/>
                <w:color w:val="auto"/>
              </w:rPr>
            </w:pPr>
          </w:p>
        </w:tc>
        <w:tc>
          <w:tcPr>
            <w:tcW w:w="446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Vanguard Institutional Index Fund</w:t>
            </w:r>
          </w:p>
        </w:tc>
        <w:tc>
          <w:tcPr>
            <w:tcW w:w="37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20"/>
                <w:szCs w:val="20"/>
                <w:color w:val="auto"/>
              </w:rPr>
              <w:t>Registered investment company</w:t>
            </w:r>
          </w:p>
        </w:tc>
        <w:tc>
          <w:tcPr>
            <w:tcW w:w="940" w:type="dxa"/>
            <w:vAlign w:val="bottom"/>
            <w:tcBorders>
              <w:bottom w:val="single" w:sz="8" w:color="CCEEFF"/>
            </w:tcBorders>
            <w:shd w:val="clear" w:color="auto" w:fill="CCEEFF"/>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80,203,946</w:t>
            </w:r>
          </w:p>
        </w:tc>
      </w:tr>
      <w:tr>
        <w:trPr>
          <w:trHeight w:val="261"/>
        </w:trPr>
        <w:tc>
          <w:tcPr>
            <w:tcW w:w="420" w:type="dxa"/>
            <w:vAlign w:val="bottom"/>
          </w:tcPr>
          <w:p>
            <w:pPr>
              <w:spacing w:after="0"/>
              <w:rPr>
                <w:sz w:val="22"/>
                <w:szCs w:val="22"/>
                <w:color w:val="auto"/>
              </w:rPr>
            </w:pPr>
          </w:p>
        </w:tc>
        <w:tc>
          <w:tcPr>
            <w:tcW w:w="4460" w:type="dxa"/>
            <w:vAlign w:val="bottom"/>
          </w:tcPr>
          <w:p>
            <w:pPr>
              <w:ind w:left="60"/>
              <w:spacing w:after="0"/>
              <w:rPr>
                <w:sz w:val="20"/>
                <w:szCs w:val="20"/>
                <w:color w:val="auto"/>
              </w:rPr>
            </w:pPr>
            <w:r>
              <w:rPr>
                <w:rFonts w:ascii="Arial" w:cs="Arial" w:eastAsia="Arial" w:hAnsi="Arial"/>
                <w:sz w:val="20"/>
                <w:szCs w:val="20"/>
                <w:color w:val="auto"/>
              </w:rPr>
              <w:t>Vanguard Total Bond Market Index Fund</w:t>
            </w:r>
          </w:p>
        </w:tc>
        <w:tc>
          <w:tcPr>
            <w:tcW w:w="3720" w:type="dxa"/>
            <w:vAlign w:val="bottom"/>
          </w:tcPr>
          <w:p>
            <w:pPr>
              <w:ind w:left="540"/>
              <w:spacing w:after="0"/>
              <w:rPr>
                <w:sz w:val="20"/>
                <w:szCs w:val="20"/>
                <w:color w:val="auto"/>
              </w:rPr>
            </w:pPr>
            <w:r>
              <w:rPr>
                <w:rFonts w:ascii="Arial" w:cs="Arial" w:eastAsia="Arial" w:hAnsi="Arial"/>
                <w:sz w:val="20"/>
                <w:szCs w:val="20"/>
                <w:color w:val="auto"/>
              </w:rPr>
              <w:t>Registered investment company</w:t>
            </w:r>
          </w:p>
        </w:tc>
        <w:tc>
          <w:tcPr>
            <w:tcW w:w="940" w:type="dxa"/>
            <w:vAlign w:val="bottom"/>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23,417,374</w:t>
            </w:r>
          </w:p>
        </w:tc>
      </w:tr>
      <w:tr>
        <w:trPr>
          <w:trHeight w:val="23"/>
        </w:trPr>
        <w:tc>
          <w:tcPr>
            <w:tcW w:w="420" w:type="dxa"/>
            <w:vAlign w:val="bottom"/>
          </w:tcPr>
          <w:p>
            <w:pPr>
              <w:spacing w:after="0"/>
              <w:rPr>
                <w:sz w:val="2"/>
                <w:szCs w:val="2"/>
                <w:color w:val="auto"/>
              </w:rPr>
            </w:pPr>
          </w:p>
        </w:tc>
        <w:tc>
          <w:tcPr>
            <w:tcW w:w="4460" w:type="dxa"/>
            <w:vAlign w:val="bottom"/>
          </w:tcPr>
          <w:p>
            <w:pPr>
              <w:spacing w:after="0"/>
              <w:rPr>
                <w:sz w:val="2"/>
                <w:szCs w:val="2"/>
                <w:color w:val="auto"/>
              </w:rPr>
            </w:pPr>
          </w:p>
        </w:tc>
        <w:tc>
          <w:tcPr>
            <w:tcW w:w="3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63"/>
        </w:trPr>
        <w:tc>
          <w:tcPr>
            <w:tcW w:w="420" w:type="dxa"/>
            <w:vAlign w:val="bottom"/>
            <w:tcBorders>
              <w:bottom w:val="single" w:sz="8" w:color="CCEEFF"/>
            </w:tcBorders>
            <w:shd w:val="clear" w:color="auto" w:fill="CCEEFF"/>
          </w:tcPr>
          <w:p>
            <w:pPr>
              <w:spacing w:after="0"/>
              <w:rPr>
                <w:sz w:val="22"/>
                <w:szCs w:val="22"/>
                <w:color w:val="auto"/>
              </w:rPr>
            </w:pPr>
          </w:p>
        </w:tc>
        <w:tc>
          <w:tcPr>
            <w:tcW w:w="446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Vanguard Total International Stock Index Fund</w:t>
            </w:r>
          </w:p>
        </w:tc>
        <w:tc>
          <w:tcPr>
            <w:tcW w:w="37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20"/>
                <w:szCs w:val="20"/>
                <w:color w:val="auto"/>
              </w:rPr>
              <w:t>Registered investment company</w:t>
            </w:r>
          </w:p>
        </w:tc>
        <w:tc>
          <w:tcPr>
            <w:tcW w:w="940" w:type="dxa"/>
            <w:vAlign w:val="bottom"/>
            <w:tcBorders>
              <w:bottom w:val="single" w:sz="8" w:color="CCEEFF"/>
            </w:tcBorders>
            <w:shd w:val="clear" w:color="auto" w:fill="CCEEFF"/>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2,810,504</w:t>
            </w:r>
          </w:p>
        </w:tc>
      </w:tr>
      <w:tr>
        <w:trPr>
          <w:trHeight w:val="260"/>
        </w:trPr>
        <w:tc>
          <w:tcPr>
            <w:tcW w:w="420" w:type="dxa"/>
            <w:vAlign w:val="bottom"/>
          </w:tcPr>
          <w:p>
            <w:pPr>
              <w:spacing w:after="0"/>
              <w:rPr>
                <w:sz w:val="22"/>
                <w:szCs w:val="22"/>
                <w:color w:val="auto"/>
              </w:rPr>
            </w:pPr>
          </w:p>
        </w:tc>
        <w:tc>
          <w:tcPr>
            <w:tcW w:w="4460" w:type="dxa"/>
            <w:vAlign w:val="bottom"/>
          </w:tcPr>
          <w:p>
            <w:pPr>
              <w:ind w:left="60"/>
              <w:spacing w:after="0"/>
              <w:rPr>
                <w:sz w:val="20"/>
                <w:szCs w:val="20"/>
                <w:color w:val="auto"/>
              </w:rPr>
            </w:pPr>
            <w:r>
              <w:rPr>
                <w:rFonts w:ascii="Arial" w:cs="Arial" w:eastAsia="Arial" w:hAnsi="Arial"/>
                <w:sz w:val="20"/>
                <w:szCs w:val="20"/>
                <w:color w:val="auto"/>
              </w:rPr>
              <w:t>Vanguard PRIMECAP Fund</w:t>
            </w:r>
          </w:p>
        </w:tc>
        <w:tc>
          <w:tcPr>
            <w:tcW w:w="3720" w:type="dxa"/>
            <w:vAlign w:val="bottom"/>
          </w:tcPr>
          <w:p>
            <w:pPr>
              <w:ind w:left="540"/>
              <w:spacing w:after="0"/>
              <w:rPr>
                <w:sz w:val="20"/>
                <w:szCs w:val="20"/>
                <w:color w:val="auto"/>
              </w:rPr>
            </w:pPr>
            <w:r>
              <w:rPr>
                <w:rFonts w:ascii="Arial" w:cs="Arial" w:eastAsia="Arial" w:hAnsi="Arial"/>
                <w:sz w:val="20"/>
                <w:szCs w:val="20"/>
                <w:color w:val="auto"/>
              </w:rPr>
              <w:t>Registered investment company</w:t>
            </w:r>
          </w:p>
        </w:tc>
        <w:tc>
          <w:tcPr>
            <w:tcW w:w="940" w:type="dxa"/>
            <w:vAlign w:val="bottom"/>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52,746,901</w:t>
            </w:r>
          </w:p>
        </w:tc>
      </w:tr>
      <w:tr>
        <w:trPr>
          <w:trHeight w:val="23"/>
        </w:trPr>
        <w:tc>
          <w:tcPr>
            <w:tcW w:w="420" w:type="dxa"/>
            <w:vAlign w:val="bottom"/>
          </w:tcPr>
          <w:p>
            <w:pPr>
              <w:spacing w:after="0"/>
              <w:rPr>
                <w:sz w:val="2"/>
                <w:szCs w:val="2"/>
                <w:color w:val="auto"/>
              </w:rPr>
            </w:pPr>
          </w:p>
        </w:tc>
        <w:tc>
          <w:tcPr>
            <w:tcW w:w="4460" w:type="dxa"/>
            <w:vAlign w:val="bottom"/>
          </w:tcPr>
          <w:p>
            <w:pPr>
              <w:spacing w:after="0"/>
              <w:rPr>
                <w:sz w:val="2"/>
                <w:szCs w:val="2"/>
                <w:color w:val="auto"/>
              </w:rPr>
            </w:pPr>
          </w:p>
        </w:tc>
        <w:tc>
          <w:tcPr>
            <w:tcW w:w="3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63"/>
        </w:trPr>
        <w:tc>
          <w:tcPr>
            <w:tcW w:w="420" w:type="dxa"/>
            <w:vAlign w:val="bottom"/>
            <w:tcBorders>
              <w:bottom w:val="single" w:sz="8" w:color="CCEEFF"/>
            </w:tcBorders>
            <w:shd w:val="clear" w:color="auto" w:fill="CCEEFF"/>
          </w:tcPr>
          <w:p>
            <w:pPr>
              <w:spacing w:after="0"/>
              <w:rPr>
                <w:sz w:val="22"/>
                <w:szCs w:val="22"/>
                <w:color w:val="auto"/>
              </w:rPr>
            </w:pPr>
          </w:p>
        </w:tc>
        <w:tc>
          <w:tcPr>
            <w:tcW w:w="446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Vanguard Wellington Fund</w:t>
            </w:r>
          </w:p>
        </w:tc>
        <w:tc>
          <w:tcPr>
            <w:tcW w:w="37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20"/>
                <w:szCs w:val="20"/>
                <w:color w:val="auto"/>
              </w:rPr>
              <w:t>Registered investment company</w:t>
            </w:r>
          </w:p>
        </w:tc>
        <w:tc>
          <w:tcPr>
            <w:tcW w:w="940" w:type="dxa"/>
            <w:vAlign w:val="bottom"/>
            <w:tcBorders>
              <w:bottom w:val="single" w:sz="8" w:color="CCEEFF"/>
            </w:tcBorders>
            <w:shd w:val="clear" w:color="auto" w:fill="CCEEFF"/>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78,293,700</w:t>
            </w:r>
          </w:p>
        </w:tc>
      </w:tr>
      <w:tr>
        <w:trPr>
          <w:trHeight w:val="260"/>
        </w:trPr>
        <w:tc>
          <w:tcPr>
            <w:tcW w:w="420" w:type="dxa"/>
            <w:vAlign w:val="bottom"/>
          </w:tcPr>
          <w:p>
            <w:pPr>
              <w:spacing w:after="0"/>
              <w:rPr>
                <w:sz w:val="22"/>
                <w:szCs w:val="22"/>
                <w:color w:val="auto"/>
              </w:rPr>
            </w:pPr>
          </w:p>
        </w:tc>
        <w:tc>
          <w:tcPr>
            <w:tcW w:w="4460" w:type="dxa"/>
            <w:vAlign w:val="bottom"/>
          </w:tcPr>
          <w:p>
            <w:pPr>
              <w:ind w:left="60"/>
              <w:spacing w:after="0"/>
              <w:rPr>
                <w:sz w:val="20"/>
                <w:szCs w:val="20"/>
                <w:color w:val="auto"/>
              </w:rPr>
            </w:pPr>
            <w:r>
              <w:rPr>
                <w:rFonts w:ascii="Arial" w:cs="Arial" w:eastAsia="Arial" w:hAnsi="Arial"/>
                <w:sz w:val="20"/>
                <w:szCs w:val="20"/>
                <w:color w:val="auto"/>
              </w:rPr>
              <w:t>Vanguard Windsor II Fund</w:t>
            </w:r>
          </w:p>
        </w:tc>
        <w:tc>
          <w:tcPr>
            <w:tcW w:w="3720" w:type="dxa"/>
            <w:vAlign w:val="bottom"/>
          </w:tcPr>
          <w:p>
            <w:pPr>
              <w:ind w:left="540"/>
              <w:spacing w:after="0"/>
              <w:rPr>
                <w:sz w:val="20"/>
                <w:szCs w:val="20"/>
                <w:color w:val="auto"/>
              </w:rPr>
            </w:pPr>
            <w:r>
              <w:rPr>
                <w:rFonts w:ascii="Arial" w:cs="Arial" w:eastAsia="Arial" w:hAnsi="Arial"/>
                <w:sz w:val="20"/>
                <w:szCs w:val="20"/>
                <w:color w:val="auto"/>
              </w:rPr>
              <w:t>Registered investment company</w:t>
            </w:r>
          </w:p>
        </w:tc>
        <w:tc>
          <w:tcPr>
            <w:tcW w:w="940" w:type="dxa"/>
            <w:vAlign w:val="bottom"/>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21,198,154</w:t>
            </w:r>
          </w:p>
        </w:tc>
      </w:tr>
      <w:tr>
        <w:trPr>
          <w:trHeight w:val="23"/>
        </w:trPr>
        <w:tc>
          <w:tcPr>
            <w:tcW w:w="4880" w:type="dxa"/>
            <w:vAlign w:val="bottom"/>
            <w:gridSpan w:val="2"/>
          </w:tcPr>
          <w:p>
            <w:pPr>
              <w:spacing w:after="0"/>
              <w:rPr>
                <w:sz w:val="2"/>
                <w:szCs w:val="2"/>
                <w:color w:val="auto"/>
              </w:rPr>
            </w:pPr>
          </w:p>
        </w:tc>
        <w:tc>
          <w:tcPr>
            <w:tcW w:w="3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63"/>
        </w:trPr>
        <w:tc>
          <w:tcPr>
            <w:tcW w:w="488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20"/>
                <w:szCs w:val="20"/>
                <w:b w:val="1"/>
                <w:bCs w:val="1"/>
                <w:color w:val="auto"/>
              </w:rPr>
              <w:t xml:space="preserve">*  </w:t>
            </w:r>
            <w:r>
              <w:rPr>
                <w:rFonts w:ascii="Arial" w:cs="Arial" w:eastAsia="Arial" w:hAnsi="Arial"/>
                <w:sz w:val="20"/>
                <w:szCs w:val="20"/>
                <w:color w:val="auto"/>
              </w:rPr>
              <w:t>T. Rowe Price Government Money Fund</w:t>
            </w:r>
          </w:p>
        </w:tc>
        <w:tc>
          <w:tcPr>
            <w:tcW w:w="37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20"/>
                <w:szCs w:val="20"/>
                <w:color w:val="auto"/>
              </w:rPr>
              <w:t>Registered investment company</w:t>
            </w:r>
          </w:p>
        </w:tc>
        <w:tc>
          <w:tcPr>
            <w:tcW w:w="940" w:type="dxa"/>
            <w:vAlign w:val="bottom"/>
            <w:tcBorders>
              <w:bottom w:val="single" w:sz="8" w:color="CCEEFF"/>
            </w:tcBorders>
            <w:shd w:val="clear" w:color="auto" w:fill="CCEEFF"/>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67,175</w:t>
            </w:r>
          </w:p>
        </w:tc>
      </w:tr>
      <w:tr>
        <w:trPr>
          <w:trHeight w:val="260"/>
        </w:trPr>
        <w:tc>
          <w:tcPr>
            <w:tcW w:w="420" w:type="dxa"/>
            <w:vAlign w:val="bottom"/>
          </w:tcPr>
          <w:p>
            <w:pPr>
              <w:spacing w:after="0"/>
              <w:rPr>
                <w:sz w:val="22"/>
                <w:szCs w:val="22"/>
                <w:color w:val="auto"/>
              </w:rPr>
            </w:pPr>
          </w:p>
        </w:tc>
        <w:tc>
          <w:tcPr>
            <w:tcW w:w="4460" w:type="dxa"/>
            <w:vAlign w:val="bottom"/>
          </w:tcPr>
          <w:p>
            <w:pPr>
              <w:ind w:left="60"/>
              <w:spacing w:after="0"/>
              <w:rPr>
                <w:sz w:val="20"/>
                <w:szCs w:val="20"/>
                <w:color w:val="auto"/>
              </w:rPr>
            </w:pPr>
            <w:r>
              <w:rPr>
                <w:rFonts w:ascii="Arial" w:cs="Arial" w:eastAsia="Arial" w:hAnsi="Arial"/>
                <w:sz w:val="20"/>
                <w:szCs w:val="20"/>
                <w:color w:val="auto"/>
              </w:rPr>
              <w:t>Wellington CIF Small Cap Opp. Portfolio</w:t>
            </w:r>
          </w:p>
        </w:tc>
        <w:tc>
          <w:tcPr>
            <w:tcW w:w="3720" w:type="dxa"/>
            <w:vAlign w:val="bottom"/>
          </w:tcPr>
          <w:p>
            <w:pPr>
              <w:ind w:left="540"/>
              <w:spacing w:after="0"/>
              <w:rPr>
                <w:sz w:val="20"/>
                <w:szCs w:val="20"/>
                <w:color w:val="auto"/>
              </w:rPr>
            </w:pPr>
            <w:r>
              <w:rPr>
                <w:rFonts w:ascii="Arial" w:cs="Arial" w:eastAsia="Arial" w:hAnsi="Arial"/>
                <w:sz w:val="20"/>
                <w:szCs w:val="20"/>
                <w:color w:val="auto"/>
              </w:rPr>
              <w:t>Common and collective trust</w:t>
            </w:r>
          </w:p>
        </w:tc>
        <w:tc>
          <w:tcPr>
            <w:tcW w:w="940" w:type="dxa"/>
            <w:vAlign w:val="bottom"/>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27,545,704</w:t>
            </w:r>
          </w:p>
        </w:tc>
      </w:tr>
      <w:tr>
        <w:trPr>
          <w:trHeight w:val="23"/>
        </w:trPr>
        <w:tc>
          <w:tcPr>
            <w:tcW w:w="4880" w:type="dxa"/>
            <w:vAlign w:val="bottom"/>
            <w:gridSpan w:val="2"/>
          </w:tcPr>
          <w:p>
            <w:pPr>
              <w:spacing w:after="0"/>
              <w:rPr>
                <w:sz w:val="2"/>
                <w:szCs w:val="2"/>
                <w:color w:val="auto"/>
              </w:rPr>
            </w:pPr>
          </w:p>
        </w:tc>
        <w:tc>
          <w:tcPr>
            <w:tcW w:w="3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64"/>
        </w:trPr>
        <w:tc>
          <w:tcPr>
            <w:tcW w:w="488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20"/>
                <w:szCs w:val="20"/>
                <w:b w:val="1"/>
                <w:bCs w:val="1"/>
                <w:color w:val="auto"/>
              </w:rPr>
              <w:t xml:space="preserve">*  </w:t>
            </w:r>
            <w:r>
              <w:rPr>
                <w:rFonts w:ascii="Arial" w:cs="Arial" w:eastAsia="Arial" w:hAnsi="Arial"/>
                <w:sz w:val="20"/>
                <w:szCs w:val="20"/>
                <w:color w:val="auto"/>
              </w:rPr>
              <w:t>T. Rowe Price Stable Value Common Trust Fund</w:t>
            </w:r>
          </w:p>
        </w:tc>
        <w:tc>
          <w:tcPr>
            <w:tcW w:w="37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20"/>
                <w:szCs w:val="20"/>
                <w:color w:val="auto"/>
              </w:rPr>
              <w:t>Common and collective trust</w:t>
            </w:r>
          </w:p>
        </w:tc>
        <w:tc>
          <w:tcPr>
            <w:tcW w:w="940" w:type="dxa"/>
            <w:vAlign w:val="bottom"/>
            <w:tcBorders>
              <w:bottom w:val="single" w:sz="8" w:color="CCEEFF"/>
            </w:tcBorders>
            <w:shd w:val="clear" w:color="auto" w:fill="CCEEFF"/>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84,658,948</w:t>
            </w:r>
          </w:p>
        </w:tc>
      </w:tr>
      <w:tr>
        <w:trPr>
          <w:trHeight w:val="260"/>
        </w:trPr>
        <w:tc>
          <w:tcPr>
            <w:tcW w:w="4880" w:type="dxa"/>
            <w:vAlign w:val="bottom"/>
            <w:gridSpan w:val="2"/>
          </w:tcPr>
          <w:p>
            <w:pPr>
              <w:ind w:left="180"/>
              <w:spacing w:after="0"/>
              <w:rPr>
                <w:sz w:val="20"/>
                <w:szCs w:val="20"/>
                <w:color w:val="auto"/>
              </w:rPr>
            </w:pPr>
            <w:r>
              <w:rPr>
                <w:rFonts w:ascii="Arial" w:cs="Arial" w:eastAsia="Arial" w:hAnsi="Arial"/>
                <w:sz w:val="20"/>
                <w:szCs w:val="20"/>
                <w:b w:val="1"/>
                <w:bCs w:val="1"/>
                <w:color w:val="auto"/>
              </w:rPr>
              <w:t xml:space="preserve">*  </w:t>
            </w:r>
            <w:r>
              <w:rPr>
                <w:rFonts w:ascii="Arial" w:cs="Arial" w:eastAsia="Arial" w:hAnsi="Arial"/>
                <w:sz w:val="20"/>
                <w:szCs w:val="20"/>
                <w:color w:val="auto"/>
              </w:rPr>
              <w:t>T. Rowe Price Retirement 2005 Trust</w:t>
            </w:r>
          </w:p>
        </w:tc>
        <w:tc>
          <w:tcPr>
            <w:tcW w:w="3720" w:type="dxa"/>
            <w:vAlign w:val="bottom"/>
          </w:tcPr>
          <w:p>
            <w:pPr>
              <w:ind w:left="540"/>
              <w:spacing w:after="0"/>
              <w:rPr>
                <w:sz w:val="20"/>
                <w:szCs w:val="20"/>
                <w:color w:val="auto"/>
              </w:rPr>
            </w:pPr>
            <w:r>
              <w:rPr>
                <w:rFonts w:ascii="Arial" w:cs="Arial" w:eastAsia="Arial" w:hAnsi="Arial"/>
                <w:sz w:val="20"/>
                <w:szCs w:val="20"/>
                <w:color w:val="auto"/>
              </w:rPr>
              <w:t>Common and collective trust</w:t>
            </w:r>
          </w:p>
        </w:tc>
        <w:tc>
          <w:tcPr>
            <w:tcW w:w="940" w:type="dxa"/>
            <w:vAlign w:val="bottom"/>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3,512,547</w:t>
            </w:r>
          </w:p>
        </w:tc>
      </w:tr>
      <w:tr>
        <w:trPr>
          <w:trHeight w:val="23"/>
        </w:trPr>
        <w:tc>
          <w:tcPr>
            <w:tcW w:w="4880" w:type="dxa"/>
            <w:vAlign w:val="bottom"/>
            <w:gridSpan w:val="2"/>
          </w:tcPr>
          <w:p>
            <w:pPr>
              <w:spacing w:after="0"/>
              <w:rPr>
                <w:sz w:val="2"/>
                <w:szCs w:val="2"/>
                <w:color w:val="auto"/>
              </w:rPr>
            </w:pPr>
          </w:p>
        </w:tc>
        <w:tc>
          <w:tcPr>
            <w:tcW w:w="3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64"/>
        </w:trPr>
        <w:tc>
          <w:tcPr>
            <w:tcW w:w="488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20"/>
                <w:szCs w:val="20"/>
                <w:b w:val="1"/>
                <w:bCs w:val="1"/>
                <w:color w:val="auto"/>
              </w:rPr>
              <w:t xml:space="preserve">*  </w:t>
            </w:r>
            <w:r>
              <w:rPr>
                <w:rFonts w:ascii="Arial" w:cs="Arial" w:eastAsia="Arial" w:hAnsi="Arial"/>
                <w:sz w:val="20"/>
                <w:szCs w:val="20"/>
                <w:color w:val="auto"/>
              </w:rPr>
              <w:t>T. Rowe Price Retirement 2010 Trust</w:t>
            </w:r>
          </w:p>
        </w:tc>
        <w:tc>
          <w:tcPr>
            <w:tcW w:w="37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20"/>
                <w:szCs w:val="20"/>
                <w:color w:val="auto"/>
              </w:rPr>
              <w:t>Common and collective trust</w:t>
            </w:r>
          </w:p>
        </w:tc>
        <w:tc>
          <w:tcPr>
            <w:tcW w:w="940" w:type="dxa"/>
            <w:vAlign w:val="bottom"/>
            <w:tcBorders>
              <w:bottom w:val="single" w:sz="8" w:color="CCEEFF"/>
            </w:tcBorders>
            <w:shd w:val="clear" w:color="auto" w:fill="CCEEFF"/>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8,987,662</w:t>
            </w:r>
          </w:p>
        </w:tc>
      </w:tr>
      <w:tr>
        <w:trPr>
          <w:trHeight w:val="260"/>
        </w:trPr>
        <w:tc>
          <w:tcPr>
            <w:tcW w:w="4880" w:type="dxa"/>
            <w:vAlign w:val="bottom"/>
            <w:gridSpan w:val="2"/>
          </w:tcPr>
          <w:p>
            <w:pPr>
              <w:ind w:left="180"/>
              <w:spacing w:after="0"/>
              <w:rPr>
                <w:sz w:val="20"/>
                <w:szCs w:val="20"/>
                <w:color w:val="auto"/>
              </w:rPr>
            </w:pPr>
            <w:r>
              <w:rPr>
                <w:rFonts w:ascii="Arial" w:cs="Arial" w:eastAsia="Arial" w:hAnsi="Arial"/>
                <w:sz w:val="20"/>
                <w:szCs w:val="20"/>
                <w:b w:val="1"/>
                <w:bCs w:val="1"/>
                <w:color w:val="auto"/>
              </w:rPr>
              <w:t xml:space="preserve">*  </w:t>
            </w:r>
            <w:r>
              <w:rPr>
                <w:rFonts w:ascii="Arial" w:cs="Arial" w:eastAsia="Arial" w:hAnsi="Arial"/>
                <w:sz w:val="20"/>
                <w:szCs w:val="20"/>
                <w:color w:val="auto"/>
              </w:rPr>
              <w:t>T. Rowe Price Retirement 2015 Trust</w:t>
            </w:r>
          </w:p>
        </w:tc>
        <w:tc>
          <w:tcPr>
            <w:tcW w:w="3720" w:type="dxa"/>
            <w:vAlign w:val="bottom"/>
          </w:tcPr>
          <w:p>
            <w:pPr>
              <w:ind w:left="540"/>
              <w:spacing w:after="0"/>
              <w:rPr>
                <w:sz w:val="20"/>
                <w:szCs w:val="20"/>
                <w:color w:val="auto"/>
              </w:rPr>
            </w:pPr>
            <w:r>
              <w:rPr>
                <w:rFonts w:ascii="Arial" w:cs="Arial" w:eastAsia="Arial" w:hAnsi="Arial"/>
                <w:sz w:val="20"/>
                <w:szCs w:val="20"/>
                <w:color w:val="auto"/>
              </w:rPr>
              <w:t>Common and collective trust</w:t>
            </w:r>
          </w:p>
        </w:tc>
        <w:tc>
          <w:tcPr>
            <w:tcW w:w="940" w:type="dxa"/>
            <w:vAlign w:val="bottom"/>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22,730,515</w:t>
            </w:r>
          </w:p>
        </w:tc>
      </w:tr>
      <w:tr>
        <w:trPr>
          <w:trHeight w:val="23"/>
        </w:trPr>
        <w:tc>
          <w:tcPr>
            <w:tcW w:w="4880" w:type="dxa"/>
            <w:vAlign w:val="bottom"/>
            <w:gridSpan w:val="2"/>
          </w:tcPr>
          <w:p>
            <w:pPr>
              <w:spacing w:after="0"/>
              <w:rPr>
                <w:sz w:val="2"/>
                <w:szCs w:val="2"/>
                <w:color w:val="auto"/>
              </w:rPr>
            </w:pPr>
          </w:p>
        </w:tc>
        <w:tc>
          <w:tcPr>
            <w:tcW w:w="3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63"/>
        </w:trPr>
        <w:tc>
          <w:tcPr>
            <w:tcW w:w="488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20"/>
                <w:szCs w:val="20"/>
                <w:b w:val="1"/>
                <w:bCs w:val="1"/>
                <w:color w:val="auto"/>
              </w:rPr>
              <w:t xml:space="preserve">*  </w:t>
            </w:r>
            <w:r>
              <w:rPr>
                <w:rFonts w:ascii="Arial" w:cs="Arial" w:eastAsia="Arial" w:hAnsi="Arial"/>
                <w:sz w:val="20"/>
                <w:szCs w:val="20"/>
                <w:color w:val="auto"/>
              </w:rPr>
              <w:t>T. Rowe Price Retirement 2020 Trust</w:t>
            </w:r>
          </w:p>
        </w:tc>
        <w:tc>
          <w:tcPr>
            <w:tcW w:w="37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20"/>
                <w:szCs w:val="20"/>
                <w:color w:val="auto"/>
              </w:rPr>
              <w:t>Common and collective trust</w:t>
            </w:r>
          </w:p>
        </w:tc>
        <w:tc>
          <w:tcPr>
            <w:tcW w:w="940" w:type="dxa"/>
            <w:vAlign w:val="bottom"/>
            <w:tcBorders>
              <w:bottom w:val="single" w:sz="8" w:color="CCEEFF"/>
            </w:tcBorders>
            <w:shd w:val="clear" w:color="auto" w:fill="CCEEFF"/>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72,503,198</w:t>
            </w:r>
          </w:p>
        </w:tc>
      </w:tr>
      <w:tr>
        <w:trPr>
          <w:trHeight w:val="260"/>
        </w:trPr>
        <w:tc>
          <w:tcPr>
            <w:tcW w:w="4880" w:type="dxa"/>
            <w:vAlign w:val="bottom"/>
            <w:gridSpan w:val="2"/>
          </w:tcPr>
          <w:p>
            <w:pPr>
              <w:ind w:left="180"/>
              <w:spacing w:after="0"/>
              <w:rPr>
                <w:sz w:val="20"/>
                <w:szCs w:val="20"/>
                <w:color w:val="auto"/>
              </w:rPr>
            </w:pPr>
            <w:r>
              <w:rPr>
                <w:rFonts w:ascii="Arial" w:cs="Arial" w:eastAsia="Arial" w:hAnsi="Arial"/>
                <w:sz w:val="20"/>
                <w:szCs w:val="20"/>
                <w:b w:val="1"/>
                <w:bCs w:val="1"/>
                <w:color w:val="auto"/>
              </w:rPr>
              <w:t xml:space="preserve">*  </w:t>
            </w:r>
            <w:r>
              <w:rPr>
                <w:rFonts w:ascii="Arial" w:cs="Arial" w:eastAsia="Arial" w:hAnsi="Arial"/>
                <w:sz w:val="20"/>
                <w:szCs w:val="20"/>
                <w:color w:val="auto"/>
              </w:rPr>
              <w:t>T. Rowe Price Retirement 2025 Trust</w:t>
            </w:r>
          </w:p>
        </w:tc>
        <w:tc>
          <w:tcPr>
            <w:tcW w:w="3720" w:type="dxa"/>
            <w:vAlign w:val="bottom"/>
          </w:tcPr>
          <w:p>
            <w:pPr>
              <w:ind w:left="540"/>
              <w:spacing w:after="0"/>
              <w:rPr>
                <w:sz w:val="20"/>
                <w:szCs w:val="20"/>
                <w:color w:val="auto"/>
              </w:rPr>
            </w:pPr>
            <w:r>
              <w:rPr>
                <w:rFonts w:ascii="Arial" w:cs="Arial" w:eastAsia="Arial" w:hAnsi="Arial"/>
                <w:sz w:val="20"/>
                <w:szCs w:val="20"/>
                <w:color w:val="auto"/>
              </w:rPr>
              <w:t>Common and collective trust</w:t>
            </w:r>
          </w:p>
        </w:tc>
        <w:tc>
          <w:tcPr>
            <w:tcW w:w="940" w:type="dxa"/>
            <w:vAlign w:val="bottom"/>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103,035,296</w:t>
            </w:r>
          </w:p>
        </w:tc>
      </w:tr>
      <w:tr>
        <w:trPr>
          <w:trHeight w:val="23"/>
        </w:trPr>
        <w:tc>
          <w:tcPr>
            <w:tcW w:w="4880" w:type="dxa"/>
            <w:vAlign w:val="bottom"/>
            <w:gridSpan w:val="2"/>
          </w:tcPr>
          <w:p>
            <w:pPr>
              <w:spacing w:after="0"/>
              <w:rPr>
                <w:sz w:val="2"/>
                <w:szCs w:val="2"/>
                <w:color w:val="auto"/>
              </w:rPr>
            </w:pPr>
          </w:p>
        </w:tc>
        <w:tc>
          <w:tcPr>
            <w:tcW w:w="3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63"/>
        </w:trPr>
        <w:tc>
          <w:tcPr>
            <w:tcW w:w="488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20"/>
                <w:szCs w:val="20"/>
                <w:b w:val="1"/>
                <w:bCs w:val="1"/>
                <w:color w:val="auto"/>
              </w:rPr>
              <w:t xml:space="preserve">*  </w:t>
            </w:r>
            <w:r>
              <w:rPr>
                <w:rFonts w:ascii="Arial" w:cs="Arial" w:eastAsia="Arial" w:hAnsi="Arial"/>
                <w:sz w:val="20"/>
                <w:szCs w:val="20"/>
                <w:color w:val="auto"/>
              </w:rPr>
              <w:t>T. Rowe Price Retirement 2030 Trust</w:t>
            </w:r>
          </w:p>
        </w:tc>
        <w:tc>
          <w:tcPr>
            <w:tcW w:w="37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20"/>
                <w:szCs w:val="20"/>
                <w:color w:val="auto"/>
              </w:rPr>
              <w:t>Common and collective trust</w:t>
            </w:r>
          </w:p>
        </w:tc>
        <w:tc>
          <w:tcPr>
            <w:tcW w:w="940" w:type="dxa"/>
            <w:vAlign w:val="bottom"/>
            <w:tcBorders>
              <w:bottom w:val="single" w:sz="8" w:color="CCEEFF"/>
            </w:tcBorders>
            <w:shd w:val="clear" w:color="auto" w:fill="CCEEFF"/>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85,889,031</w:t>
            </w:r>
          </w:p>
        </w:tc>
      </w:tr>
      <w:tr>
        <w:trPr>
          <w:trHeight w:val="260"/>
        </w:trPr>
        <w:tc>
          <w:tcPr>
            <w:tcW w:w="4880" w:type="dxa"/>
            <w:vAlign w:val="bottom"/>
            <w:gridSpan w:val="2"/>
          </w:tcPr>
          <w:p>
            <w:pPr>
              <w:ind w:left="180"/>
              <w:spacing w:after="0"/>
              <w:rPr>
                <w:sz w:val="20"/>
                <w:szCs w:val="20"/>
                <w:color w:val="auto"/>
              </w:rPr>
            </w:pPr>
            <w:r>
              <w:rPr>
                <w:rFonts w:ascii="Arial" w:cs="Arial" w:eastAsia="Arial" w:hAnsi="Arial"/>
                <w:sz w:val="20"/>
                <w:szCs w:val="20"/>
                <w:b w:val="1"/>
                <w:bCs w:val="1"/>
                <w:color w:val="auto"/>
              </w:rPr>
              <w:t xml:space="preserve">*  </w:t>
            </w:r>
            <w:r>
              <w:rPr>
                <w:rFonts w:ascii="Arial" w:cs="Arial" w:eastAsia="Arial" w:hAnsi="Arial"/>
                <w:sz w:val="20"/>
                <w:szCs w:val="20"/>
                <w:color w:val="auto"/>
              </w:rPr>
              <w:t>T. Rowe Price Retirement 2035 Trust</w:t>
            </w:r>
          </w:p>
        </w:tc>
        <w:tc>
          <w:tcPr>
            <w:tcW w:w="3720" w:type="dxa"/>
            <w:vAlign w:val="bottom"/>
          </w:tcPr>
          <w:p>
            <w:pPr>
              <w:ind w:left="540"/>
              <w:spacing w:after="0"/>
              <w:rPr>
                <w:sz w:val="20"/>
                <w:szCs w:val="20"/>
                <w:color w:val="auto"/>
              </w:rPr>
            </w:pPr>
            <w:r>
              <w:rPr>
                <w:rFonts w:ascii="Arial" w:cs="Arial" w:eastAsia="Arial" w:hAnsi="Arial"/>
                <w:sz w:val="20"/>
                <w:szCs w:val="20"/>
                <w:color w:val="auto"/>
              </w:rPr>
              <w:t>Common and collective trust</w:t>
            </w:r>
          </w:p>
        </w:tc>
        <w:tc>
          <w:tcPr>
            <w:tcW w:w="940" w:type="dxa"/>
            <w:vAlign w:val="bottom"/>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78,232,042</w:t>
            </w:r>
          </w:p>
        </w:tc>
      </w:tr>
      <w:tr>
        <w:trPr>
          <w:trHeight w:val="23"/>
        </w:trPr>
        <w:tc>
          <w:tcPr>
            <w:tcW w:w="4880" w:type="dxa"/>
            <w:vAlign w:val="bottom"/>
            <w:gridSpan w:val="2"/>
          </w:tcPr>
          <w:p>
            <w:pPr>
              <w:spacing w:after="0"/>
              <w:rPr>
                <w:sz w:val="2"/>
                <w:szCs w:val="2"/>
                <w:color w:val="auto"/>
              </w:rPr>
            </w:pPr>
          </w:p>
        </w:tc>
        <w:tc>
          <w:tcPr>
            <w:tcW w:w="3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64"/>
        </w:trPr>
        <w:tc>
          <w:tcPr>
            <w:tcW w:w="488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20"/>
                <w:szCs w:val="20"/>
                <w:b w:val="1"/>
                <w:bCs w:val="1"/>
                <w:color w:val="auto"/>
              </w:rPr>
              <w:t xml:space="preserve">*  </w:t>
            </w:r>
            <w:r>
              <w:rPr>
                <w:rFonts w:ascii="Arial" w:cs="Arial" w:eastAsia="Arial" w:hAnsi="Arial"/>
                <w:sz w:val="20"/>
                <w:szCs w:val="20"/>
                <w:color w:val="auto"/>
              </w:rPr>
              <w:t>T. Rowe Price Retirement 2040 Trust</w:t>
            </w:r>
          </w:p>
        </w:tc>
        <w:tc>
          <w:tcPr>
            <w:tcW w:w="37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20"/>
                <w:szCs w:val="20"/>
                <w:color w:val="auto"/>
              </w:rPr>
              <w:t>Common and collective trust</w:t>
            </w:r>
          </w:p>
        </w:tc>
        <w:tc>
          <w:tcPr>
            <w:tcW w:w="940" w:type="dxa"/>
            <w:vAlign w:val="bottom"/>
            <w:tcBorders>
              <w:bottom w:val="single" w:sz="8" w:color="CCEEFF"/>
            </w:tcBorders>
            <w:shd w:val="clear" w:color="auto" w:fill="CCEEFF"/>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48,110,921</w:t>
            </w:r>
          </w:p>
        </w:tc>
      </w:tr>
      <w:tr>
        <w:trPr>
          <w:trHeight w:val="260"/>
        </w:trPr>
        <w:tc>
          <w:tcPr>
            <w:tcW w:w="4880" w:type="dxa"/>
            <w:vAlign w:val="bottom"/>
            <w:gridSpan w:val="2"/>
          </w:tcPr>
          <w:p>
            <w:pPr>
              <w:ind w:left="180"/>
              <w:spacing w:after="0"/>
              <w:rPr>
                <w:sz w:val="20"/>
                <w:szCs w:val="20"/>
                <w:color w:val="auto"/>
              </w:rPr>
            </w:pPr>
            <w:r>
              <w:rPr>
                <w:rFonts w:ascii="Arial" w:cs="Arial" w:eastAsia="Arial" w:hAnsi="Arial"/>
                <w:sz w:val="20"/>
                <w:szCs w:val="20"/>
                <w:b w:val="1"/>
                <w:bCs w:val="1"/>
                <w:color w:val="auto"/>
              </w:rPr>
              <w:t xml:space="preserve">*  </w:t>
            </w:r>
            <w:r>
              <w:rPr>
                <w:rFonts w:ascii="Arial" w:cs="Arial" w:eastAsia="Arial" w:hAnsi="Arial"/>
                <w:sz w:val="20"/>
                <w:szCs w:val="20"/>
                <w:color w:val="auto"/>
              </w:rPr>
              <w:t>T. Rowe Price Retirement 2045 Trust</w:t>
            </w:r>
          </w:p>
        </w:tc>
        <w:tc>
          <w:tcPr>
            <w:tcW w:w="3720" w:type="dxa"/>
            <w:vAlign w:val="bottom"/>
          </w:tcPr>
          <w:p>
            <w:pPr>
              <w:ind w:left="540"/>
              <w:spacing w:after="0"/>
              <w:rPr>
                <w:sz w:val="20"/>
                <w:szCs w:val="20"/>
                <w:color w:val="auto"/>
              </w:rPr>
            </w:pPr>
            <w:r>
              <w:rPr>
                <w:rFonts w:ascii="Arial" w:cs="Arial" w:eastAsia="Arial" w:hAnsi="Arial"/>
                <w:sz w:val="20"/>
                <w:szCs w:val="20"/>
                <w:color w:val="auto"/>
              </w:rPr>
              <w:t>Common and collective trust</w:t>
            </w:r>
          </w:p>
        </w:tc>
        <w:tc>
          <w:tcPr>
            <w:tcW w:w="940" w:type="dxa"/>
            <w:vAlign w:val="bottom"/>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40,395,734</w:t>
            </w:r>
          </w:p>
        </w:tc>
      </w:tr>
      <w:tr>
        <w:trPr>
          <w:trHeight w:val="23"/>
        </w:trPr>
        <w:tc>
          <w:tcPr>
            <w:tcW w:w="4880" w:type="dxa"/>
            <w:vAlign w:val="bottom"/>
            <w:gridSpan w:val="2"/>
          </w:tcPr>
          <w:p>
            <w:pPr>
              <w:spacing w:after="0"/>
              <w:rPr>
                <w:sz w:val="2"/>
                <w:szCs w:val="2"/>
                <w:color w:val="auto"/>
              </w:rPr>
            </w:pPr>
          </w:p>
        </w:tc>
        <w:tc>
          <w:tcPr>
            <w:tcW w:w="3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63"/>
        </w:trPr>
        <w:tc>
          <w:tcPr>
            <w:tcW w:w="488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20"/>
                <w:szCs w:val="20"/>
                <w:b w:val="1"/>
                <w:bCs w:val="1"/>
                <w:color w:val="auto"/>
              </w:rPr>
              <w:t xml:space="preserve">*  </w:t>
            </w:r>
            <w:r>
              <w:rPr>
                <w:rFonts w:ascii="Arial" w:cs="Arial" w:eastAsia="Arial" w:hAnsi="Arial"/>
                <w:sz w:val="20"/>
                <w:szCs w:val="20"/>
                <w:color w:val="auto"/>
              </w:rPr>
              <w:t>T. Rowe Price Retirement 2050 Trust</w:t>
            </w:r>
          </w:p>
        </w:tc>
        <w:tc>
          <w:tcPr>
            <w:tcW w:w="37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20"/>
                <w:szCs w:val="20"/>
                <w:color w:val="auto"/>
              </w:rPr>
              <w:t>Common and collective trust</w:t>
            </w:r>
          </w:p>
        </w:tc>
        <w:tc>
          <w:tcPr>
            <w:tcW w:w="940" w:type="dxa"/>
            <w:vAlign w:val="bottom"/>
            <w:tcBorders>
              <w:bottom w:val="single" w:sz="8" w:color="CCEEFF"/>
            </w:tcBorders>
            <w:shd w:val="clear" w:color="auto" w:fill="CCEEFF"/>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34,491,864</w:t>
            </w:r>
          </w:p>
        </w:tc>
      </w:tr>
      <w:tr>
        <w:trPr>
          <w:trHeight w:val="260"/>
        </w:trPr>
        <w:tc>
          <w:tcPr>
            <w:tcW w:w="4880" w:type="dxa"/>
            <w:vAlign w:val="bottom"/>
            <w:gridSpan w:val="2"/>
          </w:tcPr>
          <w:p>
            <w:pPr>
              <w:ind w:left="180"/>
              <w:spacing w:after="0"/>
              <w:rPr>
                <w:sz w:val="20"/>
                <w:szCs w:val="20"/>
                <w:color w:val="auto"/>
              </w:rPr>
            </w:pPr>
            <w:r>
              <w:rPr>
                <w:rFonts w:ascii="Arial" w:cs="Arial" w:eastAsia="Arial" w:hAnsi="Arial"/>
                <w:sz w:val="20"/>
                <w:szCs w:val="20"/>
                <w:b w:val="1"/>
                <w:bCs w:val="1"/>
                <w:color w:val="auto"/>
              </w:rPr>
              <w:t xml:space="preserve">*  </w:t>
            </w:r>
            <w:r>
              <w:rPr>
                <w:rFonts w:ascii="Arial" w:cs="Arial" w:eastAsia="Arial" w:hAnsi="Arial"/>
                <w:sz w:val="20"/>
                <w:szCs w:val="20"/>
                <w:color w:val="auto"/>
              </w:rPr>
              <w:t>T. Rowe Price Retirement 2055 Trust</w:t>
            </w:r>
          </w:p>
        </w:tc>
        <w:tc>
          <w:tcPr>
            <w:tcW w:w="3720" w:type="dxa"/>
            <w:vAlign w:val="bottom"/>
          </w:tcPr>
          <w:p>
            <w:pPr>
              <w:ind w:left="540"/>
              <w:spacing w:after="0"/>
              <w:rPr>
                <w:sz w:val="20"/>
                <w:szCs w:val="20"/>
                <w:color w:val="auto"/>
              </w:rPr>
            </w:pPr>
            <w:r>
              <w:rPr>
                <w:rFonts w:ascii="Arial" w:cs="Arial" w:eastAsia="Arial" w:hAnsi="Arial"/>
                <w:sz w:val="20"/>
                <w:szCs w:val="20"/>
                <w:color w:val="auto"/>
              </w:rPr>
              <w:t>Common and collective trust</w:t>
            </w:r>
          </w:p>
        </w:tc>
        <w:tc>
          <w:tcPr>
            <w:tcW w:w="940" w:type="dxa"/>
            <w:vAlign w:val="bottom"/>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16,896,400</w:t>
            </w:r>
          </w:p>
        </w:tc>
      </w:tr>
      <w:tr>
        <w:trPr>
          <w:trHeight w:val="23"/>
        </w:trPr>
        <w:tc>
          <w:tcPr>
            <w:tcW w:w="4880" w:type="dxa"/>
            <w:vAlign w:val="bottom"/>
            <w:gridSpan w:val="2"/>
          </w:tcPr>
          <w:p>
            <w:pPr>
              <w:spacing w:after="0"/>
              <w:rPr>
                <w:sz w:val="2"/>
                <w:szCs w:val="2"/>
                <w:color w:val="auto"/>
              </w:rPr>
            </w:pPr>
          </w:p>
        </w:tc>
        <w:tc>
          <w:tcPr>
            <w:tcW w:w="3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63"/>
        </w:trPr>
        <w:tc>
          <w:tcPr>
            <w:tcW w:w="488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20"/>
                <w:szCs w:val="20"/>
                <w:b w:val="1"/>
                <w:bCs w:val="1"/>
                <w:color w:val="auto"/>
              </w:rPr>
              <w:t xml:space="preserve">*  </w:t>
            </w:r>
            <w:r>
              <w:rPr>
                <w:rFonts w:ascii="Arial" w:cs="Arial" w:eastAsia="Arial" w:hAnsi="Arial"/>
                <w:sz w:val="20"/>
                <w:szCs w:val="20"/>
                <w:color w:val="auto"/>
              </w:rPr>
              <w:t>T. Rowe Price Retirement 2060 Trust</w:t>
            </w:r>
          </w:p>
        </w:tc>
        <w:tc>
          <w:tcPr>
            <w:tcW w:w="37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20"/>
                <w:szCs w:val="20"/>
                <w:color w:val="auto"/>
              </w:rPr>
              <w:t>Common and collective trust</w:t>
            </w:r>
          </w:p>
        </w:tc>
        <w:tc>
          <w:tcPr>
            <w:tcW w:w="940" w:type="dxa"/>
            <w:vAlign w:val="bottom"/>
            <w:tcBorders>
              <w:bottom w:val="single" w:sz="8" w:color="CCEEFF"/>
            </w:tcBorders>
            <w:shd w:val="clear" w:color="auto" w:fill="CCEEFF"/>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2,472,959</w:t>
            </w:r>
          </w:p>
        </w:tc>
      </w:tr>
      <w:tr>
        <w:trPr>
          <w:trHeight w:val="260"/>
        </w:trPr>
        <w:tc>
          <w:tcPr>
            <w:tcW w:w="4880" w:type="dxa"/>
            <w:vAlign w:val="bottom"/>
            <w:gridSpan w:val="2"/>
          </w:tcPr>
          <w:p>
            <w:pPr>
              <w:ind w:left="180"/>
              <w:spacing w:after="0"/>
              <w:rPr>
                <w:sz w:val="20"/>
                <w:szCs w:val="20"/>
                <w:color w:val="auto"/>
              </w:rPr>
            </w:pPr>
            <w:r>
              <w:rPr>
                <w:rFonts w:ascii="Arial" w:cs="Arial" w:eastAsia="Arial" w:hAnsi="Arial"/>
                <w:sz w:val="20"/>
                <w:szCs w:val="20"/>
                <w:b w:val="1"/>
                <w:bCs w:val="1"/>
                <w:color w:val="auto"/>
              </w:rPr>
              <w:t xml:space="preserve">*  </w:t>
            </w:r>
            <w:r>
              <w:rPr>
                <w:rFonts w:ascii="Arial" w:cs="Arial" w:eastAsia="Arial" w:hAnsi="Arial"/>
                <w:sz w:val="20"/>
                <w:szCs w:val="20"/>
                <w:color w:val="auto"/>
              </w:rPr>
              <w:t>T. Rowe Price Retirement Income Trust</w:t>
            </w:r>
          </w:p>
        </w:tc>
        <w:tc>
          <w:tcPr>
            <w:tcW w:w="3720" w:type="dxa"/>
            <w:vAlign w:val="bottom"/>
          </w:tcPr>
          <w:p>
            <w:pPr>
              <w:ind w:left="540"/>
              <w:spacing w:after="0"/>
              <w:rPr>
                <w:sz w:val="20"/>
                <w:szCs w:val="20"/>
                <w:color w:val="auto"/>
              </w:rPr>
            </w:pPr>
            <w:r>
              <w:rPr>
                <w:rFonts w:ascii="Arial" w:cs="Arial" w:eastAsia="Arial" w:hAnsi="Arial"/>
                <w:sz w:val="20"/>
                <w:szCs w:val="20"/>
                <w:color w:val="auto"/>
              </w:rPr>
              <w:t>Common and collective trust</w:t>
            </w:r>
          </w:p>
        </w:tc>
        <w:tc>
          <w:tcPr>
            <w:tcW w:w="940" w:type="dxa"/>
            <w:vAlign w:val="bottom"/>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6,398,687</w:t>
            </w:r>
          </w:p>
        </w:tc>
      </w:tr>
      <w:tr>
        <w:trPr>
          <w:trHeight w:val="23"/>
        </w:trPr>
        <w:tc>
          <w:tcPr>
            <w:tcW w:w="4880" w:type="dxa"/>
            <w:vAlign w:val="bottom"/>
            <w:gridSpan w:val="2"/>
          </w:tcPr>
          <w:p>
            <w:pPr>
              <w:spacing w:after="0"/>
              <w:rPr>
                <w:sz w:val="2"/>
                <w:szCs w:val="2"/>
                <w:color w:val="auto"/>
              </w:rPr>
            </w:pPr>
          </w:p>
        </w:tc>
        <w:tc>
          <w:tcPr>
            <w:tcW w:w="3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63"/>
        </w:trPr>
        <w:tc>
          <w:tcPr>
            <w:tcW w:w="488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20"/>
                <w:szCs w:val="20"/>
                <w:b w:val="1"/>
                <w:bCs w:val="1"/>
                <w:color w:val="auto"/>
              </w:rPr>
              <w:t xml:space="preserve">*  </w:t>
            </w:r>
            <w:r>
              <w:rPr>
                <w:rFonts w:ascii="Arial" w:cs="Arial" w:eastAsia="Arial" w:hAnsi="Arial"/>
                <w:sz w:val="20"/>
                <w:szCs w:val="20"/>
                <w:color w:val="auto"/>
              </w:rPr>
              <w:t>Flowserve Corporation common stock</w:t>
            </w:r>
          </w:p>
        </w:tc>
        <w:tc>
          <w:tcPr>
            <w:tcW w:w="37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20"/>
                <w:szCs w:val="20"/>
                <w:color w:val="auto"/>
              </w:rPr>
              <w:t>Common stock, 676,629 shares</w:t>
            </w:r>
          </w:p>
        </w:tc>
        <w:tc>
          <w:tcPr>
            <w:tcW w:w="940" w:type="dxa"/>
            <w:vAlign w:val="bottom"/>
            <w:tcBorders>
              <w:bottom w:val="single" w:sz="8" w:color="CCEEFF"/>
            </w:tcBorders>
            <w:shd w:val="clear" w:color="auto" w:fill="CCEEFF"/>
          </w:tcPr>
          <w:p>
            <w:pPr>
              <w:jc w:val="center"/>
              <w:ind w:left="41"/>
              <w:spacing w:after="0"/>
              <w:rPr>
                <w:sz w:val="20"/>
                <w:szCs w:val="20"/>
                <w:color w:val="auto"/>
              </w:rPr>
            </w:pPr>
            <w:r>
              <w:rPr>
                <w:rFonts w:ascii="Arial" w:cs="Arial" w:eastAsia="Arial" w:hAnsi="Arial"/>
                <w:sz w:val="20"/>
                <w:szCs w:val="20"/>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33,675,837</w:t>
            </w:r>
          </w:p>
        </w:tc>
      </w:tr>
      <w:tr>
        <w:trPr>
          <w:trHeight w:val="260"/>
        </w:trPr>
        <w:tc>
          <w:tcPr>
            <w:tcW w:w="420" w:type="dxa"/>
            <w:vAlign w:val="bottom"/>
          </w:tcPr>
          <w:p>
            <w:pPr>
              <w:ind w:left="180"/>
              <w:spacing w:after="0"/>
              <w:rPr>
                <w:sz w:val="20"/>
                <w:szCs w:val="20"/>
                <w:color w:val="auto"/>
              </w:rPr>
            </w:pPr>
            <w:r>
              <w:rPr>
                <w:rFonts w:ascii="Arial" w:cs="Arial" w:eastAsia="Arial" w:hAnsi="Arial"/>
                <w:sz w:val="20"/>
                <w:szCs w:val="20"/>
                <w:b w:val="1"/>
                <w:bCs w:val="1"/>
                <w:color w:val="auto"/>
              </w:rPr>
              <w:t>*</w:t>
            </w:r>
          </w:p>
        </w:tc>
        <w:tc>
          <w:tcPr>
            <w:tcW w:w="4460" w:type="dxa"/>
            <w:vAlign w:val="bottom"/>
          </w:tcPr>
          <w:p>
            <w:pPr>
              <w:ind w:left="60"/>
              <w:spacing w:after="0"/>
              <w:rPr>
                <w:sz w:val="20"/>
                <w:szCs w:val="20"/>
                <w:color w:val="auto"/>
              </w:rPr>
            </w:pPr>
            <w:r>
              <w:rPr>
                <w:rFonts w:ascii="Arial" w:cs="Arial" w:eastAsia="Arial" w:hAnsi="Arial"/>
                <w:sz w:val="20"/>
                <w:szCs w:val="20"/>
                <w:color w:val="auto"/>
              </w:rPr>
              <w:t>Participant loans</w:t>
            </w:r>
          </w:p>
        </w:tc>
        <w:tc>
          <w:tcPr>
            <w:tcW w:w="3720" w:type="dxa"/>
            <w:vAlign w:val="bottom"/>
          </w:tcPr>
          <w:p>
            <w:pPr>
              <w:ind w:left="540"/>
              <w:spacing w:after="0"/>
              <w:rPr>
                <w:sz w:val="20"/>
                <w:szCs w:val="20"/>
                <w:color w:val="auto"/>
              </w:rPr>
            </w:pPr>
            <w:r>
              <w:rPr>
                <w:rFonts w:ascii="Arial" w:cs="Arial" w:eastAsia="Arial" w:hAnsi="Arial"/>
                <w:sz w:val="20"/>
                <w:szCs w:val="20"/>
                <w:color w:val="auto"/>
              </w:rPr>
              <w:t>4.25% - 9.25% due through 2034</w:t>
            </w:r>
          </w:p>
        </w:tc>
        <w:tc>
          <w:tcPr>
            <w:tcW w:w="940" w:type="dxa"/>
            <w:vAlign w:val="bottom"/>
          </w:tcPr>
          <w:p>
            <w:pPr>
              <w:jc w:val="center"/>
              <w:ind w:left="61"/>
              <w:spacing w:after="0"/>
              <w:rPr>
                <w:sz w:val="20"/>
                <w:szCs w:val="20"/>
                <w:color w:val="auto"/>
              </w:rPr>
            </w:pPr>
            <w:r>
              <w:rPr>
                <w:rFonts w:ascii="Arial" w:cs="Arial" w:eastAsia="Arial" w:hAnsi="Arial"/>
                <w:sz w:val="20"/>
                <w:szCs w:val="20"/>
                <w:color w:val="auto"/>
                <w:w w:val="89"/>
              </w:rPr>
              <w:t>-0-</w:t>
            </w:r>
          </w:p>
        </w:tc>
        <w:tc>
          <w:tcPr>
            <w:tcW w:w="280" w:type="dxa"/>
            <w:vAlign w:val="bottom"/>
          </w:tcPr>
          <w:p>
            <w:pPr>
              <w:spacing w:after="0"/>
              <w:rPr>
                <w:sz w:val="22"/>
                <w:szCs w:val="22"/>
                <w:color w:val="auto"/>
              </w:rPr>
            </w:pPr>
          </w:p>
        </w:tc>
        <w:tc>
          <w:tcPr>
            <w:tcW w:w="1420" w:type="dxa"/>
            <w:vAlign w:val="bottom"/>
          </w:tcPr>
          <w:p>
            <w:pPr>
              <w:jc w:val="right"/>
              <w:ind w:right="1"/>
              <w:spacing w:after="0"/>
              <w:rPr>
                <w:sz w:val="20"/>
                <w:szCs w:val="20"/>
                <w:color w:val="auto"/>
              </w:rPr>
            </w:pPr>
            <w:r>
              <w:rPr>
                <w:rFonts w:ascii="Arial" w:cs="Arial" w:eastAsia="Arial" w:hAnsi="Arial"/>
                <w:sz w:val="20"/>
                <w:szCs w:val="20"/>
                <w:color w:val="auto"/>
              </w:rPr>
              <w:t>19,881,483</w:t>
            </w:r>
          </w:p>
        </w:tc>
      </w:tr>
      <w:tr>
        <w:trPr>
          <w:trHeight w:val="23"/>
        </w:trPr>
        <w:tc>
          <w:tcPr>
            <w:tcW w:w="4880" w:type="dxa"/>
            <w:vAlign w:val="bottom"/>
            <w:tcBorders>
              <w:bottom w:val="single" w:sz="8" w:color="CCEEFF"/>
            </w:tcBorders>
            <w:gridSpan w:val="2"/>
          </w:tcPr>
          <w:p>
            <w:pPr>
              <w:spacing w:after="0"/>
              <w:rPr>
                <w:sz w:val="2"/>
                <w:szCs w:val="2"/>
                <w:color w:val="auto"/>
              </w:rPr>
            </w:pPr>
          </w:p>
        </w:tc>
        <w:tc>
          <w:tcPr>
            <w:tcW w:w="3720" w:type="dxa"/>
            <w:vAlign w:val="bottom"/>
            <w:tcBorders>
              <w:bottom w:val="single" w:sz="8" w:color="CCEEFF"/>
            </w:tcBorders>
          </w:tcPr>
          <w:p>
            <w:pPr>
              <w:spacing w:after="0"/>
              <w:rPr>
                <w:sz w:val="2"/>
                <w:szCs w:val="2"/>
                <w:color w:val="auto"/>
              </w:rPr>
            </w:pPr>
          </w:p>
        </w:tc>
        <w:tc>
          <w:tcPr>
            <w:tcW w:w="9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82"/>
        </w:trPr>
        <w:tc>
          <w:tcPr>
            <w:tcW w:w="4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Total assets held for investment purposes</w:t>
            </w:r>
          </w:p>
        </w:tc>
        <w:tc>
          <w:tcPr>
            <w:tcW w:w="3720" w:type="dxa"/>
            <w:vAlign w:val="bottom"/>
            <w:tcBorders>
              <w:bottom w:val="single" w:sz="8" w:color="CCEEFF"/>
            </w:tcBorders>
            <w:shd w:val="clear" w:color="auto" w:fill="CCEEFF"/>
          </w:tcPr>
          <w:p>
            <w:pPr>
              <w:spacing w:after="0"/>
              <w:rPr>
                <w:sz w:val="24"/>
                <w:szCs w:val="24"/>
                <w:color w:val="auto"/>
              </w:rPr>
            </w:pPr>
          </w:p>
        </w:tc>
        <w:tc>
          <w:tcPr>
            <w:tcW w:w="94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4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1,052,440,341</w:t>
            </w:r>
          </w:p>
        </w:tc>
      </w:tr>
      <w:tr>
        <w:trPr>
          <w:trHeight w:val="20"/>
        </w:trPr>
        <w:tc>
          <w:tcPr>
            <w:tcW w:w="420" w:type="dxa"/>
            <w:vAlign w:val="bottom"/>
            <w:tcBorders>
              <w:top w:val="single" w:sz="8" w:color="CCEEFF"/>
            </w:tcBorders>
          </w:tcPr>
          <w:p>
            <w:pPr>
              <w:spacing w:after="0" w:line="20" w:lineRule="exact"/>
              <w:rPr>
                <w:sz w:val="1"/>
                <w:szCs w:val="1"/>
                <w:color w:val="auto"/>
              </w:rPr>
            </w:pPr>
          </w:p>
        </w:tc>
        <w:tc>
          <w:tcPr>
            <w:tcW w:w="4460" w:type="dxa"/>
            <w:vAlign w:val="bottom"/>
            <w:tcBorders>
              <w:top w:val="single" w:sz="8" w:color="CCEEFF"/>
            </w:tcBorders>
          </w:tcPr>
          <w:p>
            <w:pPr>
              <w:spacing w:after="0" w:line="20" w:lineRule="exact"/>
              <w:rPr>
                <w:sz w:val="1"/>
                <w:szCs w:val="1"/>
                <w:color w:val="auto"/>
              </w:rPr>
            </w:pPr>
          </w:p>
        </w:tc>
        <w:tc>
          <w:tcPr>
            <w:tcW w:w="37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left="480" w:right="6280"/>
        <w:spacing w:after="0" w:line="374" w:lineRule="auto"/>
        <w:tabs>
          <w:tab w:leader="none" w:pos="615" w:val="left"/>
        </w:tabs>
        <w:numPr>
          <w:ilvl w:val="0"/>
          <w:numId w:val="10"/>
        </w:numPr>
        <w:rPr>
          <w:rFonts w:ascii="Arial" w:cs="Arial" w:eastAsia="Arial" w:hAnsi="Arial"/>
          <w:sz w:val="17"/>
          <w:szCs w:val="17"/>
          <w:color w:val="auto"/>
        </w:rPr>
      </w:pPr>
      <w:r>
        <w:rPr>
          <w:rFonts w:ascii="Arial" w:cs="Arial" w:eastAsia="Arial" w:hAnsi="Arial"/>
          <w:sz w:val="17"/>
          <w:szCs w:val="17"/>
          <w:color w:val="auto"/>
        </w:rPr>
        <w:t>Denotes a party-in-interest to the Plan as defined by ERISA. ** Cost omitted for participant-directed investments.</w:t>
      </w:r>
    </w:p>
    <w:p>
      <w:pPr>
        <w:sectPr>
          <w:pgSz w:w="11900" w:h="16838" w:orient="portrait"/>
          <w:cols w:equalWidth="0" w:num="1">
            <w:col w:w="11240"/>
          </w:cols>
          <w:pgMar w:left="320" w:top="981" w:right="339" w:bottom="1440" w:gutter="0" w:footer="0" w:header="0"/>
        </w:sect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13</w:t>
      </w:r>
    </w:p>
    <w:sectPr>
      <w:pgSz w:w="11900" w:h="16838" w:orient="portrait"/>
      <w:cols w:equalWidth="0" w:num="1">
        <w:col w:w="11240"/>
      </w:cols>
      <w:pgMar w:left="320" w:top="981"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o"/>
      <w:numFmt w:val="bullet"/>
      <w:start w:val="1"/>
    </w:lvl>
  </w:abstractNum>
  <w:abstractNum w:abstractNumId="2">
    <w:nsid w:val="2EB141F2"/>
    <w:multiLevelType w:val="hybridMultilevel"/>
    <w:lvl w:ilvl="0">
      <w:lvlJc w:val="left"/>
      <w:lvlText w:val="%1."/>
      <w:numFmt w:val="upperLetter"/>
      <w:start w:val="1"/>
    </w:lvl>
  </w:abstractNum>
  <w:abstractNum w:abstractNumId="3">
    <w:nsid w:val="41B71EFB"/>
    <w:multiLevelType w:val="hybridMultilevel"/>
    <w:lvl w:ilvl="0">
      <w:lvlJc w:val="left"/>
      <w:lvlText w:val="%1."/>
      <w:numFmt w:val="upperLetter"/>
      <w:start w:val="2"/>
    </w:lvl>
  </w:abstractNum>
  <w:abstractNum w:abstractNumId="4">
    <w:nsid w:val="79E2A9E3"/>
    <w:multiLevelType w:val="hybridMultilevel"/>
    <w:lvl w:ilvl="0">
      <w:lvlJc w:val="left"/>
      <w:lvlText w:val="(%1)"/>
      <w:numFmt w:val="lowerLetter"/>
      <w:start w:val="1"/>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decimal"/>
      <w:start w:val="2"/>
    </w:lvl>
  </w:abstractNum>
  <w:abstractNum w:abstractNumId="8">
    <w:nsid w:val="12200854"/>
    <w:multiLevelType w:val="hybridMultilevel"/>
    <w:lvl w:ilvl="0">
      <w:lvlJc w:val="left"/>
      <w:lvlText w:val="(%1)"/>
      <w:numFmt w:val="lowerLetter"/>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2020-06-12T13:01:03Z</dcterms:created>
  <dcterms:modified xsi:type="dcterms:W3CDTF">2020-06-12T13:01:03Z</dcterms:modified>
</cp:coreProperties>
</file>