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3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639"/>
        <w:spacing w:after="0"/>
        <w:rPr>
          <w:sz w:val="20"/>
          <w:szCs w:val="20"/>
          <w:color w:val="auto"/>
        </w:rPr>
      </w:pPr>
      <w:r>
        <w:rPr>
          <w:rFonts w:ascii="Arial" w:cs="Arial" w:eastAsia="Arial" w:hAnsi="Arial"/>
          <w:sz w:val="32"/>
          <w:szCs w:val="32"/>
          <w:b w:val="1"/>
          <w:bCs w:val="1"/>
          <w:color w:val="auto"/>
        </w:rPr>
        <w:t>SECURITIES AND EXCHANGE COMMISSION</w:t>
      </w:r>
    </w:p>
    <w:p>
      <w:pPr>
        <w:ind w:left="440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ind w:left="4860"/>
        <w:spacing w:after="0"/>
        <w:rPr>
          <w:sz w:val="20"/>
          <w:szCs w:val="20"/>
          <w:color w:val="auto"/>
        </w:rPr>
      </w:pPr>
      <w:r>
        <w:rPr>
          <w:rFonts w:ascii="Arial" w:cs="Arial" w:eastAsia="Arial" w:hAnsi="Arial"/>
          <w:sz w:val="32"/>
          <w:szCs w:val="32"/>
          <w:b w:val="1"/>
          <w:bCs w:val="1"/>
          <w:color w:val="auto"/>
        </w:rPr>
        <w:t>Form SD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ind w:left="3860"/>
        <w:spacing w:after="0"/>
        <w:rPr>
          <w:sz w:val="20"/>
          <w:szCs w:val="20"/>
          <w:color w:val="auto"/>
        </w:rPr>
      </w:pPr>
      <w:r>
        <w:rPr>
          <w:rFonts w:ascii="Arial" w:cs="Arial" w:eastAsia="Arial" w:hAnsi="Arial"/>
          <w:sz w:val="22"/>
          <w:szCs w:val="22"/>
          <w:b w:val="1"/>
          <w:bCs w:val="1"/>
          <w:color w:val="auto"/>
        </w:rPr>
        <w:t>S</w:t>
      </w:r>
      <w:r>
        <w:rPr>
          <w:rFonts w:ascii="Arial" w:cs="Arial" w:eastAsia="Arial" w:hAnsi="Arial"/>
          <w:sz w:val="17"/>
          <w:szCs w:val="17"/>
          <w:b w:val="1"/>
          <w:bCs w:val="1"/>
          <w:color w:val="auto"/>
        </w:rPr>
        <w:t>PECIALIZED</w:t>
      </w:r>
      <w:r>
        <w:rPr>
          <w:rFonts w:ascii="Arial" w:cs="Arial" w:eastAsia="Arial" w:hAnsi="Arial"/>
          <w:sz w:val="22"/>
          <w:szCs w:val="22"/>
          <w:b w:val="1"/>
          <w:bCs w:val="1"/>
          <w:color w:val="auto"/>
        </w:rPr>
        <w:t xml:space="preserve"> D</w:t>
      </w:r>
      <w:r>
        <w:rPr>
          <w:rFonts w:ascii="Arial" w:cs="Arial" w:eastAsia="Arial" w:hAnsi="Arial"/>
          <w:sz w:val="17"/>
          <w:szCs w:val="17"/>
          <w:b w:val="1"/>
          <w:bCs w:val="1"/>
          <w:color w:val="auto"/>
        </w:rPr>
        <w:t>ISCLOSURE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233680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ind w:left="3360"/>
        <w:spacing w:after="0"/>
        <w:rPr>
          <w:sz w:val="20"/>
          <w:szCs w:val="20"/>
          <w:color w:val="auto"/>
        </w:rPr>
      </w:pPr>
      <w:r>
        <w:rPr>
          <w:rFonts w:ascii="Arial" w:cs="Arial" w:eastAsia="Arial" w:hAnsi="Arial"/>
          <w:sz w:val="43"/>
          <w:szCs w:val="43"/>
          <w:b w:val="1"/>
          <w:bCs w:val="1"/>
          <w:color w:val="auto"/>
        </w:rPr>
        <w:t>Flowserve Corporation</w:t>
      </w:r>
    </w:p>
    <w:p>
      <w:pPr>
        <w:spacing w:after="0" w:line="50" w:lineRule="exact"/>
        <w:rPr>
          <w:sz w:val="24"/>
          <w:szCs w:val="24"/>
          <w:color w:val="auto"/>
        </w:rPr>
      </w:pPr>
    </w:p>
    <w:p>
      <w:pPr>
        <w:ind w:left="344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420" w:type="dxa"/>
        <w:tblCellMar>
          <w:top w:w="0" w:type="dxa"/>
          <w:left w:w="0" w:type="dxa"/>
          <w:bottom w:w="0" w:type="dxa"/>
          <w:right w:w="0" w:type="dxa"/>
        </w:tblCellMar>
      </w:tblPr>
      <w:tr>
        <w:trPr>
          <w:trHeight w:val="212"/>
        </w:trPr>
        <w:tc>
          <w:tcPr>
            <w:tcW w:w="4600" w:type="dxa"/>
            <w:vAlign w:val="bottom"/>
          </w:tcPr>
          <w:p>
            <w:pPr>
              <w:jc w:val="center"/>
              <w:ind w:right="1799"/>
              <w:spacing w:after="0"/>
              <w:rPr>
                <w:sz w:val="20"/>
                <w:szCs w:val="20"/>
                <w:color w:val="auto"/>
              </w:rPr>
            </w:pPr>
            <w:r>
              <w:rPr>
                <w:rFonts w:ascii="Arial" w:cs="Arial" w:eastAsia="Arial" w:hAnsi="Arial"/>
                <w:sz w:val="18"/>
                <w:szCs w:val="18"/>
                <w:b w:val="1"/>
                <w:bCs w:val="1"/>
                <w:color w:val="auto"/>
                <w:w w:val="92"/>
              </w:rPr>
              <w:t>New York</w:t>
            </w:r>
          </w:p>
        </w:tc>
        <w:tc>
          <w:tcPr>
            <w:tcW w:w="2740" w:type="dxa"/>
            <w:vAlign w:val="bottom"/>
          </w:tcPr>
          <w:p>
            <w:pPr>
              <w:jc w:val="right"/>
              <w:ind w:right="41"/>
              <w:spacing w:after="0"/>
              <w:rPr>
                <w:sz w:val="20"/>
                <w:szCs w:val="20"/>
                <w:color w:val="auto"/>
              </w:rPr>
            </w:pPr>
            <w:r>
              <w:rPr>
                <w:rFonts w:ascii="Arial" w:cs="Arial" w:eastAsia="Arial" w:hAnsi="Arial"/>
                <w:sz w:val="18"/>
                <w:szCs w:val="18"/>
                <w:b w:val="1"/>
                <w:bCs w:val="1"/>
                <w:color w:val="auto"/>
              </w:rPr>
              <w:t>1-13179</w:t>
            </w:r>
          </w:p>
        </w:tc>
      </w:tr>
      <w:tr>
        <w:trPr>
          <w:trHeight w:val="148"/>
        </w:trPr>
        <w:tc>
          <w:tcPr>
            <w:tcW w:w="4600" w:type="dxa"/>
            <w:vAlign w:val="bottom"/>
          </w:tcPr>
          <w:p>
            <w:pPr>
              <w:jc w:val="center"/>
              <w:ind w:right="1799"/>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2740" w:type="dxa"/>
            <w:vAlign w:val="bottom"/>
          </w:tcPr>
          <w:p>
            <w:pPr>
              <w:jc w:val="center"/>
              <w:ind w:left="1821"/>
              <w:spacing w:after="0" w:line="149" w:lineRule="exact"/>
              <w:rPr>
                <w:sz w:val="20"/>
                <w:szCs w:val="20"/>
                <w:color w:val="auto"/>
              </w:rPr>
            </w:pPr>
            <w:r>
              <w:rPr>
                <w:rFonts w:ascii="Arial" w:cs="Arial" w:eastAsia="Arial" w:hAnsi="Arial"/>
                <w:sz w:val="14"/>
                <w:szCs w:val="14"/>
                <w:b w:val="1"/>
                <w:bCs w:val="1"/>
                <w:color w:val="auto"/>
                <w:w w:val="90"/>
              </w:rPr>
              <w:t>(Commission</w:t>
            </w:r>
          </w:p>
        </w:tc>
      </w:tr>
      <w:tr>
        <w:trPr>
          <w:trHeight w:val="186"/>
        </w:trPr>
        <w:tc>
          <w:tcPr>
            <w:tcW w:w="4600" w:type="dxa"/>
            <w:vAlign w:val="bottom"/>
          </w:tcPr>
          <w:p>
            <w:pPr>
              <w:jc w:val="center"/>
              <w:ind w:right="1799"/>
              <w:spacing w:after="0"/>
              <w:rPr>
                <w:sz w:val="20"/>
                <w:szCs w:val="20"/>
                <w:color w:val="auto"/>
              </w:rPr>
            </w:pPr>
            <w:r>
              <w:rPr>
                <w:rFonts w:ascii="Arial" w:cs="Arial" w:eastAsia="Arial" w:hAnsi="Arial"/>
                <w:sz w:val="14"/>
                <w:szCs w:val="14"/>
                <w:b w:val="1"/>
                <w:bCs w:val="1"/>
                <w:color w:val="auto"/>
                <w:w w:val="92"/>
              </w:rPr>
              <w:t>of incorporation)</w:t>
            </w:r>
          </w:p>
        </w:tc>
        <w:tc>
          <w:tcPr>
            <w:tcW w:w="2740" w:type="dxa"/>
            <w:vAlign w:val="bottom"/>
          </w:tcPr>
          <w:p>
            <w:pPr>
              <w:jc w:val="center"/>
              <w:ind w:left="1821"/>
              <w:spacing w:after="0"/>
              <w:rPr>
                <w:sz w:val="20"/>
                <w:szCs w:val="20"/>
                <w:color w:val="auto"/>
              </w:rPr>
            </w:pPr>
            <w:r>
              <w:rPr>
                <w:rFonts w:ascii="Arial" w:cs="Arial" w:eastAsia="Arial" w:hAnsi="Arial"/>
                <w:sz w:val="14"/>
                <w:szCs w:val="14"/>
                <w:b w:val="1"/>
                <w:bCs w:val="1"/>
                <w:color w:val="auto"/>
                <w:w w:val="98"/>
              </w:rPr>
              <w:t>File Number)</w:t>
            </w:r>
          </w:p>
        </w:tc>
      </w:tr>
      <w:tr>
        <w:trPr>
          <w:trHeight w:val="439"/>
        </w:trPr>
        <w:tc>
          <w:tcPr>
            <w:tcW w:w="4600" w:type="dxa"/>
            <w:vAlign w:val="bottom"/>
          </w:tcPr>
          <w:p>
            <w:pPr>
              <w:jc w:val="center"/>
              <w:ind w:right="1819"/>
              <w:spacing w:after="0"/>
              <w:rPr>
                <w:sz w:val="20"/>
                <w:szCs w:val="20"/>
                <w:color w:val="auto"/>
              </w:rPr>
            </w:pPr>
            <w:r>
              <w:rPr>
                <w:rFonts w:ascii="Arial" w:cs="Arial" w:eastAsia="Arial" w:hAnsi="Arial"/>
                <w:sz w:val="18"/>
                <w:szCs w:val="18"/>
                <w:b w:val="1"/>
                <w:bCs w:val="1"/>
                <w:color w:val="auto"/>
                <w:w w:val="91"/>
              </w:rPr>
              <w:t>5215 N. O’Connor Blvd., Suite 700,</w:t>
            </w:r>
          </w:p>
        </w:tc>
        <w:tc>
          <w:tcPr>
            <w:tcW w:w="2740" w:type="dxa"/>
            <w:vAlign w:val="bottom"/>
          </w:tcPr>
          <w:p>
            <w:pPr>
              <w:spacing w:after="0"/>
              <w:rPr>
                <w:sz w:val="24"/>
                <w:szCs w:val="24"/>
                <w:color w:val="auto"/>
              </w:rPr>
            </w:pPr>
          </w:p>
        </w:tc>
      </w:tr>
      <w:tr>
        <w:trPr>
          <w:trHeight w:val="212"/>
        </w:trPr>
        <w:tc>
          <w:tcPr>
            <w:tcW w:w="4600" w:type="dxa"/>
            <w:vAlign w:val="bottom"/>
          </w:tcPr>
          <w:p>
            <w:pPr>
              <w:jc w:val="center"/>
              <w:ind w:right="1799"/>
              <w:spacing w:after="0"/>
              <w:rPr>
                <w:sz w:val="20"/>
                <w:szCs w:val="20"/>
                <w:color w:val="auto"/>
              </w:rPr>
            </w:pPr>
            <w:r>
              <w:rPr>
                <w:rFonts w:ascii="Arial" w:cs="Arial" w:eastAsia="Arial" w:hAnsi="Arial"/>
                <w:sz w:val="18"/>
                <w:szCs w:val="18"/>
                <w:b w:val="1"/>
                <w:bCs w:val="1"/>
                <w:color w:val="auto"/>
                <w:w w:val="90"/>
              </w:rPr>
              <w:t>Irving, Texas</w:t>
            </w:r>
          </w:p>
        </w:tc>
        <w:tc>
          <w:tcPr>
            <w:tcW w:w="2740" w:type="dxa"/>
            <w:vAlign w:val="bottom"/>
          </w:tcPr>
          <w:p>
            <w:pPr>
              <w:jc w:val="right"/>
              <w:ind w:right="121"/>
              <w:spacing w:after="0"/>
              <w:rPr>
                <w:sz w:val="20"/>
                <w:szCs w:val="20"/>
                <w:color w:val="auto"/>
              </w:rPr>
            </w:pPr>
            <w:r>
              <w:rPr>
                <w:rFonts w:ascii="Arial" w:cs="Arial" w:eastAsia="Arial" w:hAnsi="Arial"/>
                <w:sz w:val="18"/>
                <w:szCs w:val="18"/>
                <w:b w:val="1"/>
                <w:bCs w:val="1"/>
                <w:color w:val="auto"/>
              </w:rPr>
              <w:t>75039</w:t>
            </w:r>
          </w:p>
        </w:tc>
      </w:tr>
      <w:tr>
        <w:trPr>
          <w:trHeight w:val="186"/>
        </w:trPr>
        <w:tc>
          <w:tcPr>
            <w:tcW w:w="4600" w:type="dxa"/>
            <w:vAlign w:val="bottom"/>
          </w:tcPr>
          <w:p>
            <w:pPr>
              <w:jc w:val="center"/>
              <w:ind w:right="1819"/>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740" w:type="dxa"/>
            <w:vAlign w:val="bottom"/>
          </w:tcPr>
          <w:p>
            <w:pPr>
              <w:jc w:val="center"/>
              <w:ind w:left="1821"/>
              <w:spacing w:after="0"/>
              <w:rPr>
                <w:sz w:val="20"/>
                <w:szCs w:val="20"/>
                <w:color w:val="auto"/>
              </w:rPr>
            </w:pPr>
            <w:r>
              <w:rPr>
                <w:rFonts w:ascii="Arial" w:cs="Arial" w:eastAsia="Arial" w:hAnsi="Arial"/>
                <w:sz w:val="14"/>
                <w:szCs w:val="14"/>
                <w:b w:val="1"/>
                <w:bCs w:val="1"/>
                <w:color w:val="auto"/>
                <w:w w:val="98"/>
              </w:rPr>
              <w:t>(Zip Code)</w:t>
            </w:r>
          </w:p>
        </w:tc>
      </w:tr>
    </w:tbl>
    <w:p>
      <w:pPr>
        <w:spacing w:after="0" w:line="196"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Shakeeb Mir,</w:t>
      </w:r>
    </w:p>
    <w:p>
      <w:pPr>
        <w:spacing w:after="0" w:line="27"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Vice President, Corporate and Commercial Law</w:t>
      </w:r>
    </w:p>
    <w:p>
      <w:pPr>
        <w:spacing w:after="0" w:line="9" w:lineRule="exact"/>
        <w:rPr>
          <w:sz w:val="24"/>
          <w:szCs w:val="24"/>
          <w:color w:val="auto"/>
        </w:rPr>
      </w:pPr>
    </w:p>
    <w:p>
      <w:pPr>
        <w:jc w:val="center"/>
        <w:ind w:right="-639"/>
        <w:spacing w:after="0"/>
        <w:rPr>
          <w:sz w:val="20"/>
          <w:szCs w:val="20"/>
          <w:color w:val="auto"/>
        </w:rPr>
      </w:pPr>
      <w:r>
        <w:rPr>
          <w:rFonts w:ascii="Arial" w:cs="Arial" w:eastAsia="Arial" w:hAnsi="Arial"/>
          <w:sz w:val="18"/>
          <w:szCs w:val="18"/>
          <w:b w:val="1"/>
          <w:bCs w:val="1"/>
          <w:color w:val="auto"/>
        </w:rPr>
        <w:t>(972) 443-6500</w:t>
      </w:r>
    </w:p>
    <w:p>
      <w:pPr>
        <w:spacing w:after="0" w:line="2" w:lineRule="exact"/>
        <w:rPr>
          <w:sz w:val="24"/>
          <w:szCs w:val="24"/>
          <w:color w:val="auto"/>
        </w:rPr>
      </w:pPr>
    </w:p>
    <w:p>
      <w:pPr>
        <w:ind w:left="2240"/>
        <w:spacing w:after="0"/>
        <w:rPr>
          <w:sz w:val="20"/>
          <w:szCs w:val="20"/>
          <w:color w:val="auto"/>
        </w:rPr>
      </w:pPr>
      <w:r>
        <w:rPr>
          <w:rFonts w:ascii="Arial" w:cs="Arial" w:eastAsia="Arial" w:hAnsi="Arial"/>
          <w:sz w:val="14"/>
          <w:szCs w:val="14"/>
          <w:b w:val="1"/>
          <w:bCs w:val="1"/>
          <w:color w:val="auto"/>
        </w:rPr>
        <w:t>(Name and telephone number, including area code, of the person to contact in connection with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227965</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54"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indicate the rule pursuant to which this form is being filed:</w:t>
      </w:r>
    </w:p>
    <w:p>
      <w:pPr>
        <w:spacing w:after="0" w:line="131" w:lineRule="exact"/>
        <w:rPr>
          <w:sz w:val="24"/>
          <w:szCs w:val="24"/>
          <w:color w:val="auto"/>
        </w:rPr>
      </w:pPr>
    </w:p>
    <w:p>
      <w:pPr>
        <w:ind w:left="960" w:hanging="532"/>
        <w:spacing w:after="0"/>
        <w:tabs>
          <w:tab w:leader="none" w:pos="96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Rule 13p-1 under the Securities Exchange Act (17 CFR 240.13p-1) for the reporting period from January 1 to December 31, 2021.</w:t>
      </w:r>
    </w:p>
    <w:p>
      <w:pPr>
        <w:spacing w:after="0" w:line="121" w:lineRule="exact"/>
        <w:rPr>
          <w:sz w:val="24"/>
          <w:szCs w:val="24"/>
          <w:color w:val="auto"/>
        </w:rPr>
      </w:pPr>
    </w:p>
    <w:p>
      <w:pPr>
        <w:ind w:left="420"/>
        <w:spacing w:after="0"/>
        <w:tabs>
          <w:tab w:leader="none" w:pos="940" w:val="left"/>
          <w:tab w:leader="none" w:pos="8480" w:val="left"/>
        </w:tabs>
        <w:rPr>
          <w:sz w:val="20"/>
          <w:szCs w:val="20"/>
          <w:color w:val="auto"/>
        </w:rPr>
      </w:pP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Rule 13q-1 under the Securities Exchange Act (17 CFR 240.13q-1) for the fiscal year ended</w:t>
      </w:r>
      <w:r>
        <w:rPr>
          <w:sz w:val="20"/>
          <w:szCs w:val="20"/>
          <w:color w:val="auto"/>
        </w:rPr>
        <w:tab/>
      </w:r>
      <w:r>
        <w:rPr>
          <w:rFonts w:ascii="Arial" w:cs="Arial" w:eastAsia="Arial" w:hAnsi="Arial"/>
          <w:sz w:val="13"/>
          <w:szCs w:val="13"/>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181610</wp:posOffset>
            </wp:positionV>
            <wp:extent cx="6995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224155</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360"/>
          </w:cols>
          <w:pgMar w:left="440" w:top="368" w:right="1099" w:bottom="1440" w:gutter="0" w:footer="0" w:header="0"/>
        </w:sectPr>
      </w:pPr>
    </w:p>
    <w:bookmarkStart w:id="1" w:name="page2"/>
    <w:bookmarkEnd w:id="1"/>
    <w:p>
      <w:pPr>
        <w:ind w:left="4"/>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SECTION 1 – CONFLICT MINERALS DISCLOSURE</w:t>
      </w:r>
    </w:p>
    <w:p>
      <w:pPr>
        <w:spacing w:after="0" w:line="117"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Item 1.01. Conflict Minerals Disclosure and Report.</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u w:val="single" w:color="auto"/>
          <w:color w:val="auto"/>
        </w:rPr>
        <w:t>Conflict Minerals Disclosure</w:t>
      </w:r>
    </w:p>
    <w:p>
      <w:pPr>
        <w:spacing w:after="0" w:line="117" w:lineRule="exact"/>
        <w:rPr>
          <w:sz w:val="20"/>
          <w:szCs w:val="20"/>
          <w:color w:val="auto"/>
        </w:rPr>
      </w:pPr>
    </w:p>
    <w:p>
      <w:pPr>
        <w:ind w:left="4" w:right="220"/>
        <w:spacing w:after="0" w:line="342" w:lineRule="auto"/>
        <w:rPr>
          <w:sz w:val="20"/>
          <w:szCs w:val="20"/>
          <w:color w:val="auto"/>
        </w:rPr>
      </w:pPr>
      <w:r>
        <w:rPr>
          <w:rFonts w:ascii="Arial" w:cs="Arial" w:eastAsia="Arial" w:hAnsi="Arial"/>
          <w:sz w:val="16"/>
          <w:szCs w:val="16"/>
          <w:color w:val="auto"/>
        </w:rPr>
        <w:t>A copy of the Flowserve Corporation (the “Company”) Conflict Minerals Report is provided as Exhibit 1.01 hereto and is publicly available at https://ir.flowserve.com/financial-information/sec-filings as well as the Securities and Exchange Commission’s EDGAR database at www.sec.gov.*</w:t>
      </w:r>
    </w:p>
    <w:p>
      <w:pPr>
        <w:spacing w:after="0" w:line="228"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Item 1.02. Exhibit</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color w:val="auto"/>
        </w:rPr>
        <w:t>The Conflict Minerals Report required by Item 1.01 is filed as Exhibit 1.01 to this Form SD.</w:t>
      </w:r>
    </w:p>
    <w:p>
      <w:pPr>
        <w:spacing w:after="0" w:line="329"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SECTION 2 – RESOURCE EXTRACTION ISSUER DISCLOSURE</w:t>
      </w:r>
    </w:p>
    <w:p>
      <w:pPr>
        <w:spacing w:after="0" w:line="117"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Item 2.01. Resource Extraction Issuer Disclosure and Report.</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SECTION 3 – EXHIBITS</w:t>
      </w:r>
    </w:p>
    <w:p>
      <w:pPr>
        <w:spacing w:after="0" w:line="117"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Item 3.01. Exhibits.</w:t>
      </w:r>
    </w:p>
    <w:p>
      <w:pPr>
        <w:spacing w:after="0" w:line="121" w:lineRule="exact"/>
        <w:rPr>
          <w:sz w:val="20"/>
          <w:szCs w:val="20"/>
          <w:color w:val="auto"/>
        </w:rPr>
      </w:pPr>
    </w:p>
    <w:p>
      <w:pPr>
        <w:ind w:left="4"/>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Exhibit 1.01 – Conflict Minerals Report as required by Items 1.01 and 1.02 of this Form SD.</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254635</wp:posOffset>
            </wp:positionV>
            <wp:extent cx="77152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224" w:hanging="224"/>
        <w:spacing w:after="0" w:line="277" w:lineRule="auto"/>
        <w:tabs>
          <w:tab w:leader="none" w:pos="224"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reference to Flowserve’s website is provided for convenience only, and its contents are not incorporated by reference into this Form SD and the Conflict Minerals Report nor deemed filed with the U.S. Securities and Exchange Commission.</w:t>
      </w:r>
    </w:p>
    <w:p>
      <w:pPr>
        <w:spacing w:after="0" w:line="103" w:lineRule="exact"/>
        <w:rPr>
          <w:sz w:val="20"/>
          <w:szCs w:val="20"/>
          <w:color w:val="auto"/>
        </w:rPr>
      </w:pPr>
    </w:p>
    <w:p>
      <w:pPr>
        <w:jc w:val="center"/>
        <w:ind w:right="-163"/>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864"/>
          </w:cols>
          <w:pgMar w:left="436" w:top="270" w:right="599" w:bottom="1440" w:gutter="0" w:footer="0" w:header="0"/>
        </w:sectPr>
      </w:pPr>
    </w:p>
    <w:bookmarkStart w:id="2" w:name="page3"/>
    <w:bookmarkEnd w:id="2"/>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FLOWSERVE CORPORATION</w:t>
      </w:r>
    </w:p>
    <w:p>
      <w:pPr>
        <w:spacing w:after="0" w:line="225" w:lineRule="exact"/>
        <w:rPr>
          <w:sz w:val="20"/>
          <w:szCs w:val="20"/>
          <w:color w:val="auto"/>
        </w:rPr>
      </w:pPr>
    </w:p>
    <w:p>
      <w:pPr>
        <w:spacing w:after="0"/>
        <w:tabs>
          <w:tab w:leader="none" w:pos="740" w:val="left"/>
          <w:tab w:leader="none" w:pos="52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Susan C. Hudson</w:t>
      </w:r>
      <w:r>
        <w:rPr>
          <w:sz w:val="20"/>
          <w:szCs w:val="20"/>
          <w:color w:val="auto"/>
        </w:rPr>
        <w:tab/>
      </w:r>
      <w:r>
        <w:rPr>
          <w:rFonts w:ascii="Arial" w:cs="Arial" w:eastAsia="Arial" w:hAnsi="Arial"/>
          <w:sz w:val="16"/>
          <w:szCs w:val="16"/>
          <w:color w:val="auto"/>
        </w:rPr>
        <w:t>Date: May 31,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365760</wp:posOffset>
            </wp:positionH>
            <wp:positionV relativeFrom="paragraph">
              <wp:posOffset>14605</wp:posOffset>
            </wp:positionV>
            <wp:extent cx="283718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837180" cy="8890"/>
                    </a:xfrm>
                    <a:prstGeom prst="rect">
                      <a:avLst/>
                    </a:prstGeom>
                    <a:noFill/>
                  </pic:spPr>
                </pic:pic>
              </a:graphicData>
            </a:graphic>
          </wp:anchor>
        </w:drawing>
      </w:r>
    </w:p>
    <w:p>
      <w:pPr>
        <w:spacing w:after="0" w:line="17" w:lineRule="exact"/>
        <w:rPr>
          <w:sz w:val="20"/>
          <w:szCs w:val="20"/>
          <w:color w:val="auto"/>
        </w:rPr>
      </w:pPr>
    </w:p>
    <w:p>
      <w:pPr>
        <w:ind w:left="760"/>
        <w:spacing w:after="0"/>
        <w:rPr>
          <w:sz w:val="20"/>
          <w:szCs w:val="20"/>
          <w:color w:val="auto"/>
        </w:rPr>
      </w:pPr>
      <w:r>
        <w:rPr>
          <w:rFonts w:ascii="Arial" w:cs="Arial" w:eastAsia="Arial" w:hAnsi="Arial"/>
          <w:sz w:val="18"/>
          <w:szCs w:val="18"/>
          <w:color w:val="auto"/>
        </w:rPr>
        <w:t>Susan C. Hudson</w:t>
      </w:r>
    </w:p>
    <w:p>
      <w:pPr>
        <w:spacing w:after="0" w:line="23" w:lineRule="exact"/>
        <w:rPr>
          <w:sz w:val="20"/>
          <w:szCs w:val="20"/>
          <w:color w:val="auto"/>
        </w:rPr>
      </w:pPr>
    </w:p>
    <w:p>
      <w:pPr>
        <w:ind w:left="760"/>
        <w:spacing w:after="0"/>
        <w:rPr>
          <w:sz w:val="20"/>
          <w:szCs w:val="20"/>
          <w:color w:val="auto"/>
        </w:rPr>
      </w:pPr>
      <w:r>
        <w:rPr>
          <w:rFonts w:ascii="Arial" w:cs="Arial" w:eastAsia="Arial" w:hAnsi="Arial"/>
          <w:sz w:val="18"/>
          <w:szCs w:val="18"/>
          <w:color w:val="auto"/>
        </w:rPr>
        <w:t>Senior Vice President, Chief Legal Officer and</w:t>
      </w:r>
    </w:p>
    <w:p>
      <w:pPr>
        <w:spacing w:after="0" w:line="9" w:lineRule="exact"/>
        <w:rPr>
          <w:sz w:val="20"/>
          <w:szCs w:val="20"/>
          <w:color w:val="auto"/>
        </w:rPr>
      </w:pPr>
    </w:p>
    <w:p>
      <w:pPr>
        <w:ind w:left="760"/>
        <w:spacing w:after="0"/>
        <w:rPr>
          <w:sz w:val="20"/>
          <w:szCs w:val="20"/>
          <w:color w:val="auto"/>
        </w:rPr>
      </w:pPr>
      <w:r>
        <w:rPr>
          <w:rFonts w:ascii="Arial" w:cs="Arial" w:eastAsia="Arial" w:hAnsi="Arial"/>
          <w:sz w:val="18"/>
          <w:szCs w:val="18"/>
          <w:color w:val="auto"/>
        </w:rPr>
        <w:t>Corporate Secretary</w:t>
      </w:r>
    </w:p>
    <w:p>
      <w:pPr>
        <w:spacing w:after="0" w:line="157"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260"/>
          </w:cols>
          <w:pgMar w:left="440" w:top="270" w:right="119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color w:val="auto"/>
        </w:rPr>
        <w:t>Exhibit 1.01</w:t>
      </w:r>
    </w:p>
    <w:p>
      <w:pPr>
        <w:spacing w:after="0" w:line="221" w:lineRule="exact"/>
        <w:rPr>
          <w:sz w:val="20"/>
          <w:szCs w:val="20"/>
          <w:color w:val="auto"/>
        </w:rPr>
      </w:pPr>
    </w:p>
    <w:p>
      <w:pPr>
        <w:ind w:left="4624"/>
        <w:spacing w:after="0"/>
        <w:rPr>
          <w:sz w:val="20"/>
          <w:szCs w:val="20"/>
          <w:color w:val="auto"/>
        </w:rPr>
      </w:pPr>
      <w:r>
        <w:rPr>
          <w:rFonts w:ascii="Arial" w:cs="Arial" w:eastAsia="Arial" w:hAnsi="Arial"/>
          <w:sz w:val="18"/>
          <w:szCs w:val="18"/>
          <w:b w:val="1"/>
          <w:bCs w:val="1"/>
          <w:color w:val="auto"/>
        </w:rPr>
        <w:t>Flowserve Corporation</w:t>
      </w:r>
    </w:p>
    <w:p>
      <w:pPr>
        <w:spacing w:after="0" w:line="117" w:lineRule="exact"/>
        <w:rPr>
          <w:sz w:val="20"/>
          <w:szCs w:val="20"/>
          <w:color w:val="auto"/>
        </w:rPr>
      </w:pPr>
    </w:p>
    <w:p>
      <w:pPr>
        <w:ind w:left="4544"/>
        <w:spacing w:after="0"/>
        <w:rPr>
          <w:sz w:val="20"/>
          <w:szCs w:val="20"/>
          <w:color w:val="auto"/>
        </w:rPr>
      </w:pPr>
      <w:r>
        <w:rPr>
          <w:rFonts w:ascii="Arial" w:cs="Arial" w:eastAsia="Arial" w:hAnsi="Arial"/>
          <w:sz w:val="18"/>
          <w:szCs w:val="18"/>
          <w:b w:val="1"/>
          <w:bCs w:val="1"/>
          <w:color w:val="auto"/>
        </w:rPr>
        <w:t>Conflict Minerals Report</w:t>
      </w:r>
    </w:p>
    <w:p>
      <w:pPr>
        <w:spacing w:after="0" w:line="27"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color w:val="auto"/>
        </w:rPr>
        <w:t>For The Year Ended December 31, 2021</w:t>
      </w:r>
    </w:p>
    <w:p>
      <w:pPr>
        <w:spacing w:after="0" w:line="103" w:lineRule="exact"/>
        <w:rPr>
          <w:sz w:val="20"/>
          <w:szCs w:val="20"/>
          <w:color w:val="auto"/>
        </w:rPr>
      </w:pPr>
    </w:p>
    <w:p>
      <w:pPr>
        <w:ind w:left="4" w:right="20"/>
        <w:spacing w:after="0" w:line="257" w:lineRule="auto"/>
        <w:rPr>
          <w:sz w:val="20"/>
          <w:szCs w:val="20"/>
          <w:color w:val="auto"/>
        </w:rPr>
      </w:pPr>
      <w:r>
        <w:rPr>
          <w:rFonts w:ascii="Arial" w:cs="Arial" w:eastAsia="Arial" w:hAnsi="Arial"/>
          <w:sz w:val="18"/>
          <w:szCs w:val="18"/>
          <w:color w:val="auto"/>
        </w:rPr>
        <w:t>This report for the year ended December 31, 2021 is presented to comply with Rule 13p-1 under the Securities Exchange Act of 1934 (the “Rule”). The Rule was adopted by the Securities and Exchange Commission (“SEC”) to implement reporting and disclosure requirements related to Conflict Minerals as directed by the Dodd-Frank Wall Street Reform and Consumer Protection Act of 2010 (“Dodd-Frank Act”). The Rule imposes certain reporting obligations on SEC registrants who manufactured or contracted to manufacture products for which Conflict Minerals (as defined below) are necessary to the functionality or production.</w:t>
      </w:r>
    </w:p>
    <w:p>
      <w:pPr>
        <w:spacing w:after="0" w:line="188" w:lineRule="exact"/>
        <w:rPr>
          <w:sz w:val="20"/>
          <w:szCs w:val="20"/>
          <w:color w:val="auto"/>
        </w:rPr>
      </w:pPr>
    </w:p>
    <w:p>
      <w:pPr>
        <w:ind w:left="4" w:right="40"/>
        <w:spacing w:after="0" w:line="286" w:lineRule="auto"/>
        <w:rPr>
          <w:sz w:val="20"/>
          <w:szCs w:val="20"/>
          <w:color w:val="auto"/>
        </w:rPr>
      </w:pPr>
      <w:r>
        <w:rPr>
          <w:rFonts w:ascii="Arial" w:cs="Arial" w:eastAsia="Arial" w:hAnsi="Arial"/>
          <w:sz w:val="17"/>
          <w:szCs w:val="17"/>
          <w:color w:val="auto"/>
        </w:rPr>
        <w:t>Conflict Minerals are defined as cassiterite, columbite-tantalite, gold, wolframite, and their derivatives, which are limited to tin, tantalum and tungsten (“Conflict Minerals”) (3TG). These requirements apply to all registrants that have Conflict Minerals that are necessary to the functionality or production of their products whatever the geographic origin of the Conflict Minerals and whether or not they fund armed conflict.</w:t>
      </w:r>
    </w:p>
    <w:p>
      <w:pPr>
        <w:spacing w:after="0" w:line="310" w:lineRule="exact"/>
        <w:rPr>
          <w:sz w:val="20"/>
          <w:szCs w:val="20"/>
          <w:color w:val="auto"/>
        </w:rPr>
      </w:pPr>
    </w:p>
    <w:p>
      <w:pPr>
        <w:ind w:left="424" w:hanging="424"/>
        <w:spacing w:after="0"/>
        <w:tabs>
          <w:tab w:leader="none" w:pos="424"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Company Overview</w:t>
      </w:r>
    </w:p>
    <w:p>
      <w:pPr>
        <w:spacing w:after="0" w:line="121" w:lineRule="exact"/>
        <w:rPr>
          <w:sz w:val="20"/>
          <w:szCs w:val="20"/>
          <w:color w:val="auto"/>
        </w:rPr>
      </w:pPr>
    </w:p>
    <w:p>
      <w:pPr>
        <w:ind w:left="4" w:right="100"/>
        <w:spacing w:after="0" w:line="263" w:lineRule="auto"/>
        <w:rPr>
          <w:sz w:val="20"/>
          <w:szCs w:val="20"/>
          <w:color w:val="auto"/>
        </w:rPr>
      </w:pPr>
      <w:r>
        <w:rPr>
          <w:rFonts w:ascii="Arial" w:cs="Arial" w:eastAsia="Arial" w:hAnsi="Arial"/>
          <w:sz w:val="18"/>
          <w:szCs w:val="18"/>
          <w:color w:val="auto"/>
        </w:rPr>
        <w:t>This report has been prepared by management of Flowserve Corporation (herein referred to as “Flowserve,” “the Company,” “we,” “us,” or “our”). The information includes the activities of all majority-owned subsidiaries and variable interest entities that are required to be consolidated under U.S. generally accepted accounting principles.</w:t>
      </w:r>
    </w:p>
    <w:p>
      <w:pPr>
        <w:spacing w:after="0" w:line="184" w:lineRule="exact"/>
        <w:rPr>
          <w:sz w:val="20"/>
          <w:szCs w:val="20"/>
          <w:color w:val="auto"/>
        </w:rPr>
      </w:pPr>
    </w:p>
    <w:p>
      <w:pPr>
        <w:ind w:left="4" w:right="60"/>
        <w:spacing w:after="0" w:line="257" w:lineRule="auto"/>
        <w:rPr>
          <w:sz w:val="20"/>
          <w:szCs w:val="20"/>
          <w:color w:val="auto"/>
        </w:rPr>
      </w:pPr>
      <w:r>
        <w:rPr>
          <w:rFonts w:ascii="Arial" w:cs="Arial" w:eastAsia="Arial" w:hAnsi="Arial"/>
          <w:sz w:val="18"/>
          <w:szCs w:val="18"/>
          <w:color w:val="auto"/>
        </w:rPr>
        <w:t>Flowserve is a world-leading manufacturer and aftermarket service provider of comprehensive flow control systems. We develop and manufacture precision-engineered flow control equipment integral to the movement, control and protection of the flow of materials in our customers’ critical processes. Our product portfolio of pumps, valves, seals, automation and aftermarket services supports global infrastructure industries, including oil and gas, chemical, power generation and water management, as well as general industries markets where our products and services add value. Our principal products are sold through two business segments:</w:t>
      </w:r>
    </w:p>
    <w:p>
      <w:pPr>
        <w:spacing w:after="0" w:line="93" w:lineRule="exact"/>
        <w:rPr>
          <w:sz w:val="20"/>
          <w:szCs w:val="20"/>
          <w:color w:val="auto"/>
        </w:rPr>
      </w:pPr>
    </w:p>
    <w:p>
      <w:pPr>
        <w:ind w:left="964" w:right="500" w:hanging="424"/>
        <w:spacing w:after="0" w:line="277" w:lineRule="auto"/>
        <w:tabs>
          <w:tab w:leader="none" w:pos="964" w:val="left"/>
        </w:tabs>
        <w:numPr>
          <w:ilvl w:val="0"/>
          <w:numId w:val="4"/>
        </w:numPr>
        <w:rPr>
          <w:rFonts w:ascii="Arial" w:cs="Arial" w:eastAsia="Arial" w:hAnsi="Arial"/>
          <w:sz w:val="18"/>
          <w:szCs w:val="18"/>
          <w:color w:val="auto"/>
        </w:rPr>
      </w:pPr>
      <w:r>
        <w:rPr>
          <w:rFonts w:ascii="Arial" w:cs="Arial" w:eastAsia="Arial" w:hAnsi="Arial"/>
          <w:sz w:val="18"/>
          <w:szCs w:val="18"/>
          <w:color w:val="auto"/>
        </w:rPr>
        <w:t>FPD for custom, highly-engineered and pre-configured industrial pumps and pump systems, mechanical seals, auxiliary systems and replacement parts and related services; and</w:t>
      </w:r>
    </w:p>
    <w:p>
      <w:pPr>
        <w:spacing w:after="0" w:line="75" w:lineRule="exact"/>
        <w:rPr>
          <w:rFonts w:ascii="Arial" w:cs="Arial" w:eastAsia="Arial" w:hAnsi="Arial"/>
          <w:sz w:val="18"/>
          <w:szCs w:val="18"/>
          <w:color w:val="auto"/>
        </w:rPr>
      </w:pPr>
    </w:p>
    <w:p>
      <w:pPr>
        <w:ind w:left="964" w:hanging="424"/>
        <w:spacing w:after="0"/>
        <w:tabs>
          <w:tab w:leader="none" w:pos="964" w:val="left"/>
        </w:tabs>
        <w:numPr>
          <w:ilvl w:val="0"/>
          <w:numId w:val="4"/>
        </w:numPr>
        <w:rPr>
          <w:rFonts w:ascii="Arial" w:cs="Arial" w:eastAsia="Arial" w:hAnsi="Arial"/>
          <w:sz w:val="18"/>
          <w:szCs w:val="18"/>
          <w:color w:val="auto"/>
        </w:rPr>
      </w:pPr>
      <w:r>
        <w:rPr>
          <w:rFonts w:ascii="Arial" w:cs="Arial" w:eastAsia="Arial" w:hAnsi="Arial"/>
          <w:sz w:val="18"/>
          <w:szCs w:val="18"/>
          <w:color w:val="auto"/>
        </w:rPr>
        <w:t>FCD for engineered and industrial valves, control valves, actuators and controls and related services.</w:t>
      </w:r>
    </w:p>
    <w:p>
      <w:pPr>
        <w:spacing w:after="0" w:line="329"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Supply Chain</w:t>
      </w:r>
    </w:p>
    <w:p>
      <w:pPr>
        <w:spacing w:after="0" w:line="121" w:lineRule="exact"/>
        <w:rPr>
          <w:sz w:val="20"/>
          <w:szCs w:val="20"/>
          <w:color w:val="auto"/>
        </w:rPr>
      </w:pPr>
    </w:p>
    <w:p>
      <w:pPr>
        <w:ind w:left="4" w:right="20"/>
        <w:spacing w:after="0" w:line="289" w:lineRule="auto"/>
        <w:rPr>
          <w:sz w:val="20"/>
          <w:szCs w:val="20"/>
          <w:color w:val="auto"/>
        </w:rPr>
      </w:pPr>
      <w:r>
        <w:rPr>
          <w:rFonts w:ascii="Arial" w:cs="Arial" w:eastAsia="Arial" w:hAnsi="Arial"/>
          <w:sz w:val="16"/>
          <w:szCs w:val="16"/>
          <w:color w:val="auto"/>
        </w:rPr>
        <w:t>We manufacture a wide range of products that contain Conflict Minerals, but we do not purchase ore or unrefined Conflict Minerals directly from mines, smelters, or refiners, and generally are many steps removed in the supply chain from the mining of these minerals. As a result, we rely on suppliers for various components and parts that contain Conflict Minerals that are utilized in the assembly of our products. Due to the size of our Company, the complexity of our products, and our location in the supply chain being many steps downstream from miners, smelters, and refiners, we must rely on our direct suppliers to provide information on the origin of the Conflict Minerals contained in the components and parts supplied to us – including sources of Conflict Minerals that are supplied to them from their suppliers. Further, many of our suppliers are not SEC registrants subject to the reporting requirements of the Rule and as a result, have immature Conflict Minerals programs. As a result of this complexity, we conducted a survey of the suppliers that focused not only on those who represented the majority of our expenditures in 2021, but also focused on suppliers where the nature of the component, or the location of the supplier, indicated that those components had a higher probability to contain Conflict Minerals.</w:t>
      </w:r>
    </w:p>
    <w:p>
      <w:pPr>
        <w:spacing w:after="0" w:line="99"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024"/>
          </w:cols>
          <w:pgMar w:left="436" w:top="125" w:right="439" w:bottom="1440" w:gutter="0" w:footer="0" w:header="0"/>
        </w:sectPr>
      </w:pPr>
    </w:p>
    <w:bookmarkStart w:id="4" w:name="page5"/>
    <w:bookmarkEnd w:id="4"/>
    <w:p>
      <w:pPr>
        <w:ind w:left="424" w:hanging="424"/>
        <w:spacing w:after="0"/>
        <w:tabs>
          <w:tab w:leader="none" w:pos="424"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Reasonable Country of Origin Inquiry:</w:t>
      </w:r>
    </w:p>
    <w:p>
      <w:pPr>
        <w:spacing w:after="0" w:line="121" w:lineRule="exact"/>
        <w:rPr>
          <w:rFonts w:ascii="Arial" w:cs="Arial" w:eastAsia="Arial" w:hAnsi="Arial"/>
          <w:sz w:val="18"/>
          <w:szCs w:val="18"/>
          <w:b w:val="1"/>
          <w:bCs w:val="1"/>
          <w:color w:val="auto"/>
        </w:rPr>
      </w:pPr>
    </w:p>
    <w:p>
      <w:pPr>
        <w:ind w:left="444"/>
        <w:spacing w:after="0"/>
        <w:rPr>
          <w:rFonts w:ascii="Arial" w:cs="Arial" w:eastAsia="Arial" w:hAnsi="Arial"/>
          <w:sz w:val="18"/>
          <w:szCs w:val="18"/>
          <w:b w:val="1"/>
          <w:bCs w:val="1"/>
          <w:color w:val="auto"/>
        </w:rPr>
      </w:pPr>
      <w:r>
        <w:rPr>
          <w:rFonts w:ascii="Arial" w:cs="Arial" w:eastAsia="Arial" w:hAnsi="Arial"/>
          <w:sz w:val="18"/>
          <w:szCs w:val="18"/>
          <w:color w:val="auto"/>
        </w:rPr>
        <w:t>Flowserve undertook the following measures to perform a country of origin inquiry on its Conflict Minerals:</w:t>
      </w:r>
    </w:p>
    <w:p>
      <w:pPr>
        <w:spacing w:after="0" w:line="130" w:lineRule="exact"/>
        <w:rPr>
          <w:rFonts w:ascii="Arial" w:cs="Arial" w:eastAsia="Arial" w:hAnsi="Arial"/>
          <w:sz w:val="18"/>
          <w:szCs w:val="18"/>
          <w:b w:val="1"/>
          <w:bCs w:val="1"/>
          <w:color w:val="auto"/>
        </w:rPr>
      </w:pPr>
    </w:p>
    <w:p>
      <w:pPr>
        <w:ind w:left="964" w:right="100" w:hanging="424"/>
        <w:spacing w:after="0" w:line="263" w:lineRule="auto"/>
        <w:tabs>
          <w:tab w:leader="none" w:pos="964" w:val="left"/>
        </w:tabs>
        <w:numPr>
          <w:ilvl w:val="1"/>
          <w:numId w:val="5"/>
        </w:numPr>
        <w:rPr>
          <w:rFonts w:ascii="Arial" w:cs="Arial" w:eastAsia="Arial" w:hAnsi="Arial"/>
          <w:sz w:val="18"/>
          <w:szCs w:val="18"/>
          <w:color w:val="auto"/>
        </w:rPr>
      </w:pPr>
      <w:r>
        <w:rPr>
          <w:rFonts w:ascii="Arial" w:cs="Arial" w:eastAsia="Arial" w:hAnsi="Arial"/>
          <w:sz w:val="18"/>
          <w:szCs w:val="18"/>
          <w:color w:val="auto"/>
        </w:rPr>
        <w:t>Utilized a risk based approach, based on an examination of internal records such as bills of sale or product specifications, to identify business segments which contracted to manufacture products reasonably believed to contain one or more Conflict Minerals and identified the relevant suppliers of the Conflict Minerals for these products;</w:t>
      </w:r>
    </w:p>
    <w:p>
      <w:pPr>
        <w:spacing w:after="0" w:line="89" w:lineRule="exact"/>
        <w:rPr>
          <w:rFonts w:ascii="Arial" w:cs="Arial" w:eastAsia="Arial" w:hAnsi="Arial"/>
          <w:sz w:val="18"/>
          <w:szCs w:val="18"/>
          <w:color w:val="auto"/>
        </w:rPr>
      </w:pPr>
    </w:p>
    <w:p>
      <w:pPr>
        <w:ind w:left="964" w:right="80" w:hanging="424"/>
        <w:spacing w:after="0" w:line="259" w:lineRule="auto"/>
        <w:tabs>
          <w:tab w:leader="none" w:pos="964" w:val="left"/>
        </w:tabs>
        <w:numPr>
          <w:ilvl w:val="1"/>
          <w:numId w:val="5"/>
        </w:numPr>
        <w:rPr>
          <w:rFonts w:ascii="Arial" w:cs="Arial" w:eastAsia="Arial" w:hAnsi="Arial"/>
          <w:sz w:val="18"/>
          <w:szCs w:val="18"/>
          <w:color w:val="auto"/>
        </w:rPr>
      </w:pPr>
      <w:r>
        <w:rPr>
          <w:rFonts w:ascii="Arial" w:cs="Arial" w:eastAsia="Arial" w:hAnsi="Arial"/>
          <w:sz w:val="18"/>
          <w:szCs w:val="18"/>
          <w:color w:val="auto"/>
        </w:rPr>
        <w:t>Sent surveys (using the Responsible Minerals Initiative (RMI) Conflict Minerals Reporting Template developed as a result of the Electronic Industry Citizenship Coalition (EICC)/Global e-Sustainability Initiative (GeSI)) to approximately 3,435 suppliers, requesting substantiation for the presence of Conflict Minerals in the materials or components they supplied to Flowserve, and information regarding the origin of those minerals;</w:t>
      </w:r>
    </w:p>
    <w:p>
      <w:pPr>
        <w:spacing w:after="0" w:line="92" w:lineRule="exact"/>
        <w:rPr>
          <w:rFonts w:ascii="Arial" w:cs="Arial" w:eastAsia="Arial" w:hAnsi="Arial"/>
          <w:sz w:val="18"/>
          <w:szCs w:val="18"/>
          <w:color w:val="auto"/>
        </w:rPr>
      </w:pPr>
    </w:p>
    <w:p>
      <w:pPr>
        <w:ind w:left="964" w:right="120" w:hanging="424"/>
        <w:spacing w:after="0" w:line="263" w:lineRule="auto"/>
        <w:tabs>
          <w:tab w:leader="none" w:pos="964" w:val="left"/>
        </w:tabs>
        <w:numPr>
          <w:ilvl w:val="1"/>
          <w:numId w:val="5"/>
        </w:numPr>
        <w:rPr>
          <w:rFonts w:ascii="Arial" w:cs="Arial" w:eastAsia="Arial" w:hAnsi="Arial"/>
          <w:sz w:val="18"/>
          <w:szCs w:val="18"/>
          <w:color w:val="auto"/>
        </w:rPr>
      </w:pPr>
      <w:r>
        <w:rPr>
          <w:rFonts w:ascii="Arial" w:cs="Arial" w:eastAsia="Arial" w:hAnsi="Arial"/>
          <w:sz w:val="18"/>
          <w:szCs w:val="18"/>
          <w:color w:val="auto"/>
        </w:rPr>
        <w:t>Identified and placed additional emphasis on suppliers that are most significant to Flowserve’s Conflict Minerals program using criteria developed by the business, such as the amount of sourcing spend with the supplier and the likelihood of Conflict Minerals being supplied from the supplier;</w:t>
      </w:r>
    </w:p>
    <w:p>
      <w:pPr>
        <w:spacing w:after="0" w:line="89" w:lineRule="exact"/>
        <w:rPr>
          <w:rFonts w:ascii="Arial" w:cs="Arial" w:eastAsia="Arial" w:hAnsi="Arial"/>
          <w:sz w:val="18"/>
          <w:szCs w:val="18"/>
          <w:color w:val="auto"/>
        </w:rPr>
      </w:pPr>
    </w:p>
    <w:p>
      <w:pPr>
        <w:ind w:left="964" w:right="100" w:hanging="424"/>
        <w:spacing w:after="0" w:line="311" w:lineRule="auto"/>
        <w:tabs>
          <w:tab w:leader="none" w:pos="964" w:val="left"/>
        </w:tabs>
        <w:numPr>
          <w:ilvl w:val="1"/>
          <w:numId w:val="5"/>
        </w:numPr>
        <w:rPr>
          <w:rFonts w:ascii="Arial" w:cs="Arial" w:eastAsia="Arial" w:hAnsi="Arial"/>
          <w:sz w:val="16"/>
          <w:szCs w:val="16"/>
          <w:color w:val="auto"/>
        </w:rPr>
      </w:pPr>
      <w:r>
        <w:rPr>
          <w:rFonts w:ascii="Arial" w:cs="Arial" w:eastAsia="Arial" w:hAnsi="Arial"/>
          <w:sz w:val="16"/>
          <w:szCs w:val="16"/>
          <w:color w:val="auto"/>
        </w:rPr>
        <w:t>Reviewed the responses received for indicators (e.g., untimely or incomplete responses as well as inconsistencies within the data reported in the template) that Conflict Minerals may be sourced from the Democratic Republic of Congo (DRC) and adjoining countries (the “Covered Countries”) and attempted to further engage these suppliers to perform additional due diligence, as needed; and</w:t>
      </w:r>
    </w:p>
    <w:p>
      <w:pPr>
        <w:spacing w:after="0" w:line="54" w:lineRule="exact"/>
        <w:rPr>
          <w:rFonts w:ascii="Arial" w:cs="Arial" w:eastAsia="Arial" w:hAnsi="Arial"/>
          <w:sz w:val="16"/>
          <w:szCs w:val="16"/>
          <w:color w:val="auto"/>
        </w:rPr>
      </w:pPr>
    </w:p>
    <w:p>
      <w:pPr>
        <w:ind w:left="964" w:right="80" w:hanging="424"/>
        <w:spacing w:after="0" w:line="263" w:lineRule="auto"/>
        <w:tabs>
          <w:tab w:leader="none" w:pos="964" w:val="left"/>
        </w:tabs>
        <w:numPr>
          <w:ilvl w:val="1"/>
          <w:numId w:val="5"/>
        </w:numPr>
        <w:rPr>
          <w:rFonts w:ascii="Arial" w:cs="Arial" w:eastAsia="Arial" w:hAnsi="Arial"/>
          <w:sz w:val="18"/>
          <w:szCs w:val="18"/>
          <w:color w:val="auto"/>
        </w:rPr>
      </w:pPr>
      <w:r>
        <w:rPr>
          <w:rFonts w:ascii="Arial" w:cs="Arial" w:eastAsia="Arial" w:hAnsi="Arial"/>
          <w:sz w:val="18"/>
          <w:szCs w:val="18"/>
          <w:color w:val="auto"/>
        </w:rPr>
        <w:t>Continued to follow up with suppliers and continued to regularly communicate Flowserve’s expectations on responsible supply chains of Conflict Minerals by transmitting surveys and other communications and continually requesting compliance with requests for information and documentation from unresponsive suppliers.</w:t>
      </w:r>
    </w:p>
    <w:p>
      <w:pPr>
        <w:spacing w:after="0" w:line="76" w:lineRule="exact"/>
        <w:rPr>
          <w:sz w:val="20"/>
          <w:szCs w:val="20"/>
          <w:color w:val="auto"/>
        </w:rPr>
      </w:pPr>
    </w:p>
    <w:p>
      <w:pPr>
        <w:jc w:val="both"/>
        <w:ind w:left="444" w:right="100"/>
        <w:spacing w:after="0" w:line="263" w:lineRule="auto"/>
        <w:rPr>
          <w:sz w:val="20"/>
          <w:szCs w:val="20"/>
          <w:color w:val="auto"/>
        </w:rPr>
      </w:pPr>
      <w:r>
        <w:rPr>
          <w:rFonts w:ascii="Arial" w:cs="Arial" w:eastAsia="Arial" w:hAnsi="Arial"/>
          <w:sz w:val="18"/>
          <w:szCs w:val="18"/>
          <w:color w:val="auto"/>
        </w:rPr>
        <w:t>The above efforts led to a response rate of 38.05%. Despite the ongoing disruptions and challenges caused by the COVID-19 pandemic, we were able to obtain responses from many of our largest suppliers, which is reflected in the spend coverage. The suppliers that responded captured over 60% of the relevant spend, up from 53% in 2020.</w:t>
      </w:r>
    </w:p>
    <w:p>
      <w:pPr>
        <w:spacing w:after="0" w:line="76" w:lineRule="exact"/>
        <w:rPr>
          <w:sz w:val="20"/>
          <w:szCs w:val="20"/>
          <w:color w:val="auto"/>
        </w:rPr>
      </w:pPr>
    </w:p>
    <w:p>
      <w:pPr>
        <w:ind w:left="444"/>
        <w:spacing w:after="0" w:line="263" w:lineRule="auto"/>
        <w:rPr>
          <w:sz w:val="20"/>
          <w:szCs w:val="20"/>
          <w:color w:val="auto"/>
        </w:rPr>
      </w:pPr>
      <w:r>
        <w:rPr>
          <w:rFonts w:ascii="Arial" w:cs="Arial" w:eastAsia="Arial" w:hAnsi="Arial"/>
          <w:sz w:val="18"/>
          <w:szCs w:val="18"/>
          <w:color w:val="auto"/>
        </w:rPr>
        <w:t>As a result of the reasonable country of origin inquiry, we are unable to determine the origin of the Conflict Minerals in our products and therefore cannot exclude the possibility that some may have originated in the Covered Countries. For that reason, we performed additional due diligence and are required under the Rule to submit to the SEC this Conflict Minerals Report (CMR).</w:t>
      </w:r>
    </w:p>
    <w:p>
      <w:pPr>
        <w:spacing w:after="0" w:line="288" w:lineRule="exact"/>
        <w:rPr>
          <w:sz w:val="20"/>
          <w:szCs w:val="20"/>
          <w:color w:val="auto"/>
        </w:rPr>
      </w:pPr>
    </w:p>
    <w:p>
      <w:pPr>
        <w:ind w:left="444"/>
        <w:spacing w:after="0"/>
        <w:rPr>
          <w:sz w:val="20"/>
          <w:szCs w:val="20"/>
          <w:color w:val="auto"/>
        </w:rPr>
      </w:pPr>
      <w:r>
        <w:rPr>
          <w:rFonts w:ascii="Arial" w:cs="Arial" w:eastAsia="Arial" w:hAnsi="Arial"/>
          <w:sz w:val="18"/>
          <w:szCs w:val="18"/>
          <w:b w:val="1"/>
          <w:bCs w:val="1"/>
          <w:u w:val="single" w:color="auto"/>
          <w:color w:val="auto"/>
        </w:rPr>
        <w:t>Conflict Minerals Policy</w:t>
      </w:r>
      <w:r>
        <w:rPr>
          <w:rFonts w:ascii="Arial" w:cs="Arial" w:eastAsia="Arial" w:hAnsi="Arial"/>
          <w:sz w:val="18"/>
          <w:szCs w:val="18"/>
          <w:b w:val="1"/>
          <w:bCs w:val="1"/>
          <w:color w:val="auto"/>
        </w:rPr>
        <w:t>:</w:t>
      </w:r>
    </w:p>
    <w:p>
      <w:pPr>
        <w:spacing w:after="0" w:line="121" w:lineRule="exact"/>
        <w:rPr>
          <w:sz w:val="20"/>
          <w:szCs w:val="20"/>
          <w:color w:val="auto"/>
        </w:rPr>
      </w:pPr>
    </w:p>
    <w:p>
      <w:pPr>
        <w:ind w:left="444" w:right="80"/>
        <w:spacing w:after="0" w:line="275" w:lineRule="auto"/>
        <w:rPr>
          <w:sz w:val="20"/>
          <w:szCs w:val="20"/>
          <w:color w:val="auto"/>
        </w:rPr>
      </w:pPr>
      <w:r>
        <w:rPr>
          <w:rFonts w:ascii="Arial" w:cs="Arial" w:eastAsia="Arial" w:hAnsi="Arial"/>
          <w:sz w:val="17"/>
          <w:szCs w:val="17"/>
          <w:color w:val="auto"/>
        </w:rPr>
        <w:t>Flowserve culture is centered on ethics, integrity and trust. Our values drive how we treat each other, our customers, suppliers, partners and even our competitors. By combining uncompromising character, transparent business behavior, mutual respect, and world-class products and services, we seek to build an enduring culture that creates satisfied customers, engaged employees and sustainable, profitable growth. As a result, our ethical business culture supports global efforts to assist in the eradication of Human Rights abuses in the Covered Countries, where the mining of certain minerals has partially financed the long-standing conflict in this region.</w:t>
      </w:r>
    </w:p>
    <w:p>
      <w:pPr>
        <w:spacing w:after="0" w:line="68" w:lineRule="exact"/>
        <w:rPr>
          <w:sz w:val="20"/>
          <w:szCs w:val="20"/>
          <w:color w:val="auto"/>
        </w:rPr>
      </w:pPr>
    </w:p>
    <w:p>
      <w:pPr>
        <w:jc w:val="both"/>
        <w:ind w:left="444" w:right="100"/>
        <w:spacing w:after="0" w:line="259" w:lineRule="auto"/>
        <w:rPr>
          <w:sz w:val="20"/>
          <w:szCs w:val="20"/>
          <w:color w:val="auto"/>
        </w:rPr>
      </w:pPr>
      <w:r>
        <w:rPr>
          <w:rFonts w:ascii="Arial" w:cs="Arial" w:eastAsia="Arial" w:hAnsi="Arial"/>
          <w:sz w:val="18"/>
          <w:szCs w:val="18"/>
          <w:color w:val="auto"/>
        </w:rPr>
        <w:t>Flowserve supports the objectives and intent of this Conflict Minerals legislation. Additionally, we are committed to working toward a conflict free supply chain by implementing a management program integrated with our policies and processes to align our worldwide suppliers with this policy. Our Conflict Minerals program is addressed in our Supplier Code of Business Conduct, our Terms and Conditions with suppliers, and our Purchase Order requirements.</w:t>
      </w:r>
    </w:p>
    <w:p>
      <w:pPr>
        <w:spacing w:after="0" w:line="79" w:lineRule="exact"/>
        <w:rPr>
          <w:sz w:val="20"/>
          <w:szCs w:val="20"/>
          <w:color w:val="auto"/>
        </w:rPr>
      </w:pPr>
    </w:p>
    <w:p>
      <w:pPr>
        <w:ind w:left="444"/>
        <w:spacing w:after="0"/>
        <w:rPr>
          <w:sz w:val="20"/>
          <w:szCs w:val="20"/>
          <w:color w:val="auto"/>
        </w:rPr>
      </w:pPr>
      <w:r>
        <w:rPr>
          <w:rFonts w:ascii="Arial" w:cs="Arial" w:eastAsia="Arial" w:hAnsi="Arial"/>
          <w:sz w:val="17"/>
          <w:szCs w:val="17"/>
          <w:color w:val="auto"/>
        </w:rPr>
        <w:t>For additional information about our commitment to responsible sourcing and for our full Conflict Minerals policy, please visit our website at:</w:t>
      </w:r>
    </w:p>
    <w:p>
      <w:pPr>
        <w:spacing w:after="0" w:line="35" w:lineRule="exact"/>
        <w:rPr>
          <w:sz w:val="20"/>
          <w:szCs w:val="20"/>
          <w:color w:val="auto"/>
        </w:rPr>
      </w:pPr>
    </w:p>
    <w:p>
      <w:pPr>
        <w:ind w:left="444"/>
        <w:spacing w:after="0"/>
        <w:rPr>
          <w:sz w:val="20"/>
          <w:szCs w:val="20"/>
          <w:color w:val="auto"/>
        </w:rPr>
      </w:pPr>
      <w:r>
        <w:rPr>
          <w:rFonts w:ascii="Arial" w:cs="Arial" w:eastAsia="Arial" w:hAnsi="Arial"/>
          <w:sz w:val="18"/>
          <w:szCs w:val="18"/>
          <w:color w:val="auto"/>
        </w:rPr>
        <w:t>https://www.flowserve.com/en/more/about-company/conflict-minerals-policy</w:t>
      </w:r>
    </w:p>
    <w:p>
      <w:pPr>
        <w:spacing w:after="0" w:line="355" w:lineRule="exact"/>
        <w:rPr>
          <w:sz w:val="20"/>
          <w:szCs w:val="20"/>
          <w:color w:val="auto"/>
        </w:rPr>
      </w:pPr>
    </w:p>
    <w:p>
      <w:pPr>
        <w:ind w:left="424" w:hanging="424"/>
        <w:spacing w:after="0"/>
        <w:tabs>
          <w:tab w:leader="none" w:pos="424"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Due Diligence Process</w:t>
      </w:r>
    </w:p>
    <w:p>
      <w:pPr>
        <w:spacing w:after="0" w:line="134" w:lineRule="exact"/>
        <w:rPr>
          <w:rFonts w:ascii="Arial" w:cs="Arial" w:eastAsia="Arial" w:hAnsi="Arial"/>
          <w:sz w:val="18"/>
          <w:szCs w:val="18"/>
          <w:b w:val="1"/>
          <w:bCs w:val="1"/>
          <w:color w:val="auto"/>
        </w:rPr>
      </w:pPr>
    </w:p>
    <w:p>
      <w:pPr>
        <w:ind w:left="424"/>
        <w:spacing w:after="0"/>
        <w:rPr>
          <w:rFonts w:ascii="Arial" w:cs="Arial" w:eastAsia="Arial" w:hAnsi="Arial"/>
          <w:sz w:val="18"/>
          <w:szCs w:val="18"/>
          <w:b w:val="1"/>
          <w:bCs w:val="1"/>
          <w:color w:val="auto"/>
        </w:rPr>
      </w:pPr>
      <w:r>
        <w:rPr>
          <w:rFonts w:ascii="Arial" w:cs="Arial" w:eastAsia="Arial" w:hAnsi="Arial"/>
          <w:sz w:val="18"/>
          <w:szCs w:val="18"/>
          <w:color w:val="auto"/>
        </w:rPr>
        <w:t>3.1.   Design of Due Diligence Framework</w:t>
      </w:r>
    </w:p>
    <w:p>
      <w:pPr>
        <w:spacing w:after="0" w:line="117" w:lineRule="exact"/>
        <w:rPr>
          <w:rFonts w:ascii="Arial" w:cs="Arial" w:eastAsia="Arial" w:hAnsi="Arial"/>
          <w:sz w:val="18"/>
          <w:szCs w:val="18"/>
          <w:b w:val="1"/>
          <w:bCs w:val="1"/>
          <w:color w:val="auto"/>
        </w:rPr>
      </w:pPr>
    </w:p>
    <w:p>
      <w:pPr>
        <w:ind w:left="444" w:right="260"/>
        <w:spacing w:after="0" w:line="286" w:lineRule="auto"/>
        <w:rPr>
          <w:rFonts w:ascii="Arial" w:cs="Arial" w:eastAsia="Arial" w:hAnsi="Arial"/>
          <w:sz w:val="18"/>
          <w:szCs w:val="18"/>
          <w:b w:val="1"/>
          <w:bCs w:val="1"/>
          <w:color w:val="auto"/>
        </w:rPr>
      </w:pPr>
      <w:r>
        <w:rPr>
          <w:rFonts w:ascii="Arial" w:cs="Arial" w:eastAsia="Arial" w:hAnsi="Arial"/>
          <w:sz w:val="17"/>
          <w:szCs w:val="17"/>
          <w:color w:val="auto"/>
        </w:rPr>
        <w:t xml:space="preserve">Our due diligence measures have been designed to conform, with the framework in </w:t>
      </w:r>
      <w:r>
        <w:rPr>
          <w:rFonts w:ascii="Arial" w:cs="Arial" w:eastAsia="Arial" w:hAnsi="Arial"/>
          <w:sz w:val="17"/>
          <w:szCs w:val="17"/>
          <w:i w:val="1"/>
          <w:iCs w:val="1"/>
          <w:color w:val="auto"/>
        </w:rPr>
        <w:t>The Organization for Economic Co-operation and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Development (OECD) Due Diligence Guidance for Responsible Supply Chains of Minerals from Conflict-Affected and High-Risk Areas </w:t>
      </w:r>
      <w:r>
        <w:rPr>
          <w:rFonts w:ascii="Arial" w:cs="Arial" w:eastAsia="Arial" w:hAnsi="Arial"/>
          <w:sz w:val="17"/>
          <w:szCs w:val="17"/>
          <w:color w:val="auto"/>
        </w:rPr>
        <w:t>(Third</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edition, 2016) (OECD Guidance) and the related </w:t>
      </w:r>
      <w:r>
        <w:rPr>
          <w:rFonts w:ascii="Arial" w:cs="Arial" w:eastAsia="Arial" w:hAnsi="Arial"/>
          <w:sz w:val="17"/>
          <w:szCs w:val="17"/>
          <w:i w:val="1"/>
          <w:iCs w:val="1"/>
          <w:color w:val="auto"/>
        </w:rPr>
        <w:t>Supplement on Tin, Tantalum, and Tungsten</w:t>
      </w:r>
      <w:r>
        <w:rPr>
          <w:rFonts w:ascii="Arial" w:cs="Arial" w:eastAsia="Arial" w:hAnsi="Arial"/>
          <w:sz w:val="17"/>
          <w:szCs w:val="17"/>
          <w:color w:val="auto"/>
        </w:rPr>
        <w:t xml:space="preserve"> and the </w:t>
      </w:r>
      <w:r>
        <w:rPr>
          <w:rFonts w:ascii="Arial" w:cs="Arial" w:eastAsia="Arial" w:hAnsi="Arial"/>
          <w:sz w:val="17"/>
          <w:szCs w:val="17"/>
          <w:i w:val="1"/>
          <w:iCs w:val="1"/>
          <w:color w:val="auto"/>
        </w:rPr>
        <w:t>Supplement on Gold</w:t>
      </w:r>
      <w:r>
        <w:rPr>
          <w:rFonts w:ascii="Arial" w:cs="Arial" w:eastAsia="Arial" w:hAnsi="Arial"/>
          <w:sz w:val="17"/>
          <w:szCs w:val="17"/>
          <w:color w:val="auto"/>
        </w:rPr>
        <w:t>.</w:t>
      </w:r>
    </w:p>
    <w:p>
      <w:pPr>
        <w:spacing w:after="0" w:line="98"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984"/>
          </w:cols>
          <w:pgMar w:left="436" w:top="270" w:right="479" w:bottom="1440" w:gutter="0" w:footer="0" w:header="0"/>
        </w:sectPr>
      </w:pPr>
    </w:p>
    <w:bookmarkStart w:id="5" w:name="page6"/>
    <w:bookmarkEnd w:id="5"/>
    <w:p>
      <w:pPr>
        <w:ind w:left="424"/>
        <w:spacing w:after="0"/>
        <w:tabs>
          <w:tab w:leader="none" w:pos="944"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3.2.</w:t>
      </w:r>
      <w:r>
        <w:rPr>
          <w:sz w:val="20"/>
          <w:szCs w:val="20"/>
          <w:color w:val="auto"/>
        </w:rPr>
        <w:tab/>
      </w:r>
      <w:r>
        <w:rPr>
          <w:rFonts w:ascii="Arial" w:cs="Arial" w:eastAsia="Arial" w:hAnsi="Arial"/>
          <w:sz w:val="16"/>
          <w:szCs w:val="16"/>
          <w:color w:val="auto"/>
        </w:rPr>
        <w:t>Due Diligence Performed</w:t>
      </w:r>
    </w:p>
    <w:p>
      <w:pPr>
        <w:spacing w:after="0" w:line="131" w:lineRule="exact"/>
        <w:rPr>
          <w:sz w:val="20"/>
          <w:szCs w:val="20"/>
          <w:color w:val="auto"/>
        </w:rPr>
      </w:pPr>
    </w:p>
    <w:p>
      <w:pPr>
        <w:ind w:left="984"/>
        <w:spacing w:after="0"/>
        <w:rPr>
          <w:sz w:val="20"/>
          <w:szCs w:val="20"/>
          <w:color w:val="auto"/>
        </w:rPr>
      </w:pPr>
      <w:r>
        <w:rPr>
          <w:rFonts w:ascii="Arial" w:cs="Arial" w:eastAsia="Arial" w:hAnsi="Arial"/>
          <w:sz w:val="18"/>
          <w:szCs w:val="18"/>
          <w:color w:val="auto"/>
        </w:rPr>
        <w:t xml:space="preserve">3.2.1. </w:t>
      </w:r>
      <w:r>
        <w:rPr>
          <w:rFonts w:ascii="Arial" w:cs="Arial" w:eastAsia="Arial" w:hAnsi="Arial"/>
          <w:sz w:val="18"/>
          <w:szCs w:val="18"/>
          <w:u w:val="single" w:color="auto"/>
          <w:color w:val="auto"/>
        </w:rPr>
        <w:t>Establish Strong Company Management Systems</w:t>
      </w:r>
    </w:p>
    <w:p>
      <w:pPr>
        <w:spacing w:after="0" w:line="117" w:lineRule="exact"/>
        <w:rPr>
          <w:sz w:val="20"/>
          <w:szCs w:val="20"/>
          <w:color w:val="auto"/>
        </w:rPr>
      </w:pPr>
    </w:p>
    <w:p>
      <w:pPr>
        <w:ind w:left="444"/>
        <w:spacing w:after="0" w:line="254" w:lineRule="auto"/>
        <w:rPr>
          <w:sz w:val="20"/>
          <w:szCs w:val="20"/>
          <w:color w:val="auto"/>
        </w:rPr>
      </w:pPr>
      <w:r>
        <w:rPr>
          <w:rFonts w:ascii="Arial" w:cs="Arial" w:eastAsia="Arial" w:hAnsi="Arial"/>
          <w:sz w:val="18"/>
          <w:szCs w:val="18"/>
          <w:color w:val="auto"/>
        </w:rPr>
        <w:t>As described above, Flowserve has adopted a Conflict Minerals policy which is posted on our website. Additionally, as part of our management system for Conflict Minerals, Flowserve has established a cross functional internal task force, realigned active management resources, and created a position that is responsible for managing the Conflict Minerals program and requirements at Flowserve. A senior Flowserve executive, supported by a senior Flowserve lawyer, has oversight responsibility for Flowserve’s Conflict Minerals task force. This management team is responsible for implementing the Conflict Minerals management systems and communicating them throughout the organization and our business segments. The team is comprised of subject matter experts from relevant functional areas such as supply chain, engineering, communications, legal and business integrity and compliance. Senior management and the Board of Directors are briefed about our management systems and due diligence efforts on an annual basis.</w:t>
      </w:r>
    </w:p>
    <w:p>
      <w:pPr>
        <w:spacing w:after="0" w:line="97" w:lineRule="exact"/>
        <w:rPr>
          <w:sz w:val="20"/>
          <w:szCs w:val="20"/>
          <w:color w:val="auto"/>
        </w:rPr>
      </w:pPr>
    </w:p>
    <w:p>
      <w:pPr>
        <w:ind w:left="984"/>
        <w:spacing w:after="0"/>
        <w:rPr>
          <w:sz w:val="20"/>
          <w:szCs w:val="20"/>
          <w:color w:val="auto"/>
        </w:rPr>
      </w:pPr>
      <w:r>
        <w:rPr>
          <w:rFonts w:ascii="Arial" w:cs="Arial" w:eastAsia="Arial" w:hAnsi="Arial"/>
          <w:sz w:val="18"/>
          <w:szCs w:val="18"/>
          <w:color w:val="auto"/>
        </w:rPr>
        <w:t xml:space="preserve">3.2.2. </w:t>
      </w:r>
      <w:r>
        <w:rPr>
          <w:rFonts w:ascii="Arial" w:cs="Arial" w:eastAsia="Arial" w:hAnsi="Arial"/>
          <w:sz w:val="18"/>
          <w:szCs w:val="18"/>
          <w:u w:val="single" w:color="auto"/>
          <w:color w:val="auto"/>
        </w:rPr>
        <w:t>Identify and Assess Risks in Supply Chain</w:t>
      </w:r>
    </w:p>
    <w:p>
      <w:pPr>
        <w:spacing w:after="0" w:line="117" w:lineRule="exact"/>
        <w:rPr>
          <w:sz w:val="20"/>
          <w:szCs w:val="20"/>
          <w:color w:val="auto"/>
        </w:rPr>
      </w:pPr>
    </w:p>
    <w:p>
      <w:pPr>
        <w:ind w:left="444" w:right="100"/>
        <w:spacing w:after="0" w:line="296" w:lineRule="auto"/>
        <w:rPr>
          <w:sz w:val="20"/>
          <w:szCs w:val="20"/>
          <w:color w:val="auto"/>
        </w:rPr>
      </w:pPr>
      <w:r>
        <w:rPr>
          <w:rFonts w:ascii="Arial" w:cs="Arial" w:eastAsia="Arial" w:hAnsi="Arial"/>
          <w:sz w:val="16"/>
          <w:szCs w:val="16"/>
          <w:color w:val="auto"/>
        </w:rPr>
        <w:t>Because of our size, the complexity of our products, and the depth, breadth, and constant evolution of our supply chain, it is difficult to identify actors upstream from our direct suppliers. Accordingly, we participate in a number of industry-wide initiatives to leverage information and common process. Further, as discussed above, we conducted an analysis of our supply base, and identified and performed additional diligence on suppliers that supply products that may contain Conflict Minerals and continued to contact unresponsive suppliers. We also monitor and track suppliers that may not meet the requirements set forth in our Conflict Minerals policy to determine their progress in meeting those requirements.</w:t>
      </w:r>
    </w:p>
    <w:p>
      <w:pPr>
        <w:spacing w:after="0" w:line="67" w:lineRule="exact"/>
        <w:rPr>
          <w:sz w:val="20"/>
          <w:szCs w:val="20"/>
          <w:color w:val="auto"/>
        </w:rPr>
      </w:pPr>
    </w:p>
    <w:p>
      <w:pPr>
        <w:ind w:left="984"/>
        <w:spacing w:after="0"/>
        <w:rPr>
          <w:sz w:val="20"/>
          <w:szCs w:val="20"/>
          <w:color w:val="auto"/>
        </w:rPr>
      </w:pPr>
      <w:r>
        <w:rPr>
          <w:rFonts w:ascii="Arial" w:cs="Arial" w:eastAsia="Arial" w:hAnsi="Arial"/>
          <w:sz w:val="18"/>
          <w:szCs w:val="18"/>
          <w:color w:val="auto"/>
        </w:rPr>
        <w:t xml:space="preserve">3.2.3. </w:t>
      </w:r>
      <w:r>
        <w:rPr>
          <w:rFonts w:ascii="Arial" w:cs="Arial" w:eastAsia="Arial" w:hAnsi="Arial"/>
          <w:sz w:val="18"/>
          <w:szCs w:val="18"/>
          <w:u w:val="single" w:color="auto"/>
          <w:color w:val="auto"/>
        </w:rPr>
        <w:t>Design and Implement a Strategy to Respond to Risks</w:t>
      </w:r>
    </w:p>
    <w:p>
      <w:pPr>
        <w:spacing w:after="0" w:line="117" w:lineRule="exact"/>
        <w:rPr>
          <w:sz w:val="20"/>
          <w:szCs w:val="20"/>
          <w:color w:val="auto"/>
        </w:rPr>
      </w:pPr>
    </w:p>
    <w:p>
      <w:pPr>
        <w:ind w:left="444"/>
        <w:spacing w:after="0" w:line="277" w:lineRule="auto"/>
        <w:rPr>
          <w:sz w:val="20"/>
          <w:szCs w:val="20"/>
          <w:color w:val="auto"/>
        </w:rPr>
      </w:pPr>
      <w:r>
        <w:rPr>
          <w:rFonts w:ascii="Arial" w:cs="Arial" w:eastAsia="Arial" w:hAnsi="Arial"/>
          <w:sz w:val="18"/>
          <w:szCs w:val="18"/>
          <w:color w:val="auto"/>
        </w:rPr>
        <w:t>With respect to those products we manufacture or cause to be manufactured, Flowserve seeks to implement the following steps to mitigate the risk that necessary Conflict Minerals benefit armed groups:</w:t>
      </w:r>
    </w:p>
    <w:p>
      <w:pPr>
        <w:spacing w:after="0" w:line="76" w:lineRule="exact"/>
        <w:rPr>
          <w:sz w:val="20"/>
          <w:szCs w:val="20"/>
          <w:color w:val="auto"/>
        </w:rPr>
      </w:pPr>
    </w:p>
    <w:p>
      <w:pPr>
        <w:ind w:left="964" w:right="180" w:hanging="424"/>
        <w:spacing w:after="0" w:line="277" w:lineRule="auto"/>
        <w:tabs>
          <w:tab w:leader="none" w:pos="964" w:val="left"/>
        </w:tabs>
        <w:numPr>
          <w:ilvl w:val="0"/>
          <w:numId w:val="7"/>
        </w:numPr>
        <w:rPr>
          <w:rFonts w:ascii="Arial" w:cs="Arial" w:eastAsia="Arial" w:hAnsi="Arial"/>
          <w:sz w:val="18"/>
          <w:szCs w:val="18"/>
          <w:color w:val="auto"/>
        </w:rPr>
      </w:pPr>
      <w:r>
        <w:rPr>
          <w:rFonts w:ascii="Arial" w:cs="Arial" w:eastAsia="Arial" w:hAnsi="Arial"/>
          <w:sz w:val="18"/>
          <w:szCs w:val="18"/>
          <w:color w:val="auto"/>
        </w:rPr>
        <w:t>Seek, where practicable, alternative suppliers that responsibly source necessary Conflict Minerals, which may include sources within the DRC or adjoining countries that do not benefit armed groups;</w:t>
      </w:r>
    </w:p>
    <w:p>
      <w:pPr>
        <w:spacing w:after="0" w:line="75" w:lineRule="exact"/>
        <w:rPr>
          <w:rFonts w:ascii="Arial" w:cs="Arial" w:eastAsia="Arial" w:hAnsi="Arial"/>
          <w:sz w:val="18"/>
          <w:szCs w:val="18"/>
          <w:color w:val="auto"/>
        </w:rPr>
      </w:pPr>
    </w:p>
    <w:p>
      <w:pPr>
        <w:ind w:left="964" w:hanging="424"/>
        <w:spacing w:after="0"/>
        <w:tabs>
          <w:tab w:leader="none" w:pos="964" w:val="left"/>
        </w:tabs>
        <w:numPr>
          <w:ilvl w:val="0"/>
          <w:numId w:val="7"/>
        </w:numPr>
        <w:rPr>
          <w:rFonts w:ascii="Arial" w:cs="Arial" w:eastAsia="Arial" w:hAnsi="Arial"/>
          <w:sz w:val="17"/>
          <w:szCs w:val="17"/>
          <w:color w:val="auto"/>
        </w:rPr>
      </w:pPr>
      <w:r>
        <w:rPr>
          <w:rFonts w:ascii="Arial" w:cs="Arial" w:eastAsia="Arial" w:hAnsi="Arial"/>
          <w:sz w:val="17"/>
          <w:szCs w:val="17"/>
          <w:color w:val="auto"/>
        </w:rPr>
        <w:t>Engage with our suppliers to encourage responsible sourcing of minerals and identify and [act with respect to?] suppliers that do not;</w:t>
      </w:r>
    </w:p>
    <w:p>
      <w:pPr>
        <w:spacing w:after="0" w:line="142" w:lineRule="exact"/>
        <w:rPr>
          <w:rFonts w:ascii="Arial" w:cs="Arial" w:eastAsia="Arial" w:hAnsi="Arial"/>
          <w:sz w:val="17"/>
          <w:szCs w:val="17"/>
          <w:color w:val="auto"/>
        </w:rPr>
      </w:pPr>
    </w:p>
    <w:p>
      <w:pPr>
        <w:ind w:left="964" w:hanging="424"/>
        <w:spacing w:after="0" w:line="277" w:lineRule="auto"/>
        <w:tabs>
          <w:tab w:leader="none" w:pos="964" w:val="left"/>
        </w:tabs>
        <w:numPr>
          <w:ilvl w:val="0"/>
          <w:numId w:val="7"/>
        </w:numPr>
        <w:rPr>
          <w:rFonts w:ascii="Arial" w:cs="Arial" w:eastAsia="Arial" w:hAnsi="Arial"/>
          <w:sz w:val="18"/>
          <w:szCs w:val="18"/>
          <w:color w:val="auto"/>
        </w:rPr>
      </w:pPr>
      <w:r>
        <w:rPr>
          <w:rFonts w:ascii="Arial" w:cs="Arial" w:eastAsia="Arial" w:hAnsi="Arial"/>
          <w:sz w:val="18"/>
          <w:szCs w:val="18"/>
          <w:color w:val="auto"/>
        </w:rPr>
        <w:t>Attempt to negotiate clauses in future supplier contracts requiring suppliers to adhere to rules and regulations relating to the use of Conflict Minerals; and</w:t>
      </w:r>
    </w:p>
    <w:p>
      <w:pPr>
        <w:spacing w:after="0" w:line="75" w:lineRule="exact"/>
        <w:rPr>
          <w:rFonts w:ascii="Arial" w:cs="Arial" w:eastAsia="Arial" w:hAnsi="Arial"/>
          <w:sz w:val="18"/>
          <w:szCs w:val="18"/>
          <w:color w:val="auto"/>
        </w:rPr>
      </w:pPr>
    </w:p>
    <w:p>
      <w:pPr>
        <w:ind w:left="964" w:right="100" w:hanging="424"/>
        <w:spacing w:after="0" w:line="277" w:lineRule="auto"/>
        <w:tabs>
          <w:tab w:leader="none" w:pos="964" w:val="left"/>
        </w:tabs>
        <w:numPr>
          <w:ilvl w:val="0"/>
          <w:numId w:val="7"/>
        </w:numPr>
        <w:rPr>
          <w:rFonts w:ascii="Arial" w:cs="Arial" w:eastAsia="Arial" w:hAnsi="Arial"/>
          <w:sz w:val="18"/>
          <w:szCs w:val="18"/>
          <w:color w:val="auto"/>
        </w:rPr>
      </w:pPr>
      <w:r>
        <w:rPr>
          <w:rFonts w:ascii="Arial" w:cs="Arial" w:eastAsia="Arial" w:hAnsi="Arial"/>
          <w:sz w:val="18"/>
          <w:szCs w:val="18"/>
          <w:color w:val="auto"/>
        </w:rPr>
        <w:t>Provide progress reports annually to our senior management and Board of Directors summarizing information gathered during our annual supply chain survey and providing a status of our risk mitigation efforts.</w:t>
      </w:r>
    </w:p>
    <w:p>
      <w:pPr>
        <w:spacing w:after="0" w:line="76" w:lineRule="exact"/>
        <w:rPr>
          <w:sz w:val="20"/>
          <w:szCs w:val="20"/>
          <w:color w:val="auto"/>
        </w:rPr>
      </w:pPr>
    </w:p>
    <w:p>
      <w:pPr>
        <w:ind w:left="984"/>
        <w:spacing w:after="0"/>
        <w:rPr>
          <w:sz w:val="20"/>
          <w:szCs w:val="20"/>
          <w:color w:val="auto"/>
        </w:rPr>
      </w:pPr>
      <w:r>
        <w:rPr>
          <w:rFonts w:ascii="Arial" w:cs="Arial" w:eastAsia="Arial" w:hAnsi="Arial"/>
          <w:sz w:val="18"/>
          <w:szCs w:val="18"/>
          <w:color w:val="auto"/>
        </w:rPr>
        <w:t xml:space="preserve">3.2.4. </w:t>
      </w:r>
      <w:r>
        <w:rPr>
          <w:rFonts w:ascii="Arial" w:cs="Arial" w:eastAsia="Arial" w:hAnsi="Arial"/>
          <w:sz w:val="18"/>
          <w:szCs w:val="18"/>
          <w:u w:val="single" w:color="auto"/>
          <w:color w:val="auto"/>
        </w:rPr>
        <w:t>Carry out Independent Third Party Audit of Supply Chain Due Diligence</w:t>
      </w:r>
    </w:p>
    <w:p>
      <w:pPr>
        <w:spacing w:after="0" w:line="117" w:lineRule="exact"/>
        <w:rPr>
          <w:sz w:val="20"/>
          <w:szCs w:val="20"/>
          <w:color w:val="auto"/>
        </w:rPr>
      </w:pPr>
    </w:p>
    <w:p>
      <w:pPr>
        <w:ind w:left="444" w:right="120"/>
        <w:spacing w:after="0" w:line="263" w:lineRule="auto"/>
        <w:rPr>
          <w:sz w:val="20"/>
          <w:szCs w:val="20"/>
          <w:color w:val="auto"/>
        </w:rPr>
      </w:pPr>
      <w:r>
        <w:rPr>
          <w:rFonts w:ascii="Arial" w:cs="Arial" w:eastAsia="Arial" w:hAnsi="Arial"/>
          <w:sz w:val="18"/>
          <w:szCs w:val="18"/>
          <w:color w:val="auto"/>
        </w:rPr>
        <w:t>Flowserve does not have a direct relationship with smelters and refiners, nor do we perform direct audits of these entities that potentially provide our supply chain with Conflict Minerals. However, we do rely upon industry efforts to influence smelters and refineries to undertake audits and certification processes through RMI’s Responsible Minerals Assurance Process (RMAP).</w:t>
      </w:r>
    </w:p>
    <w:p>
      <w:pPr>
        <w:spacing w:after="0" w:line="89" w:lineRule="exact"/>
        <w:rPr>
          <w:sz w:val="20"/>
          <w:szCs w:val="20"/>
          <w:color w:val="auto"/>
        </w:rPr>
      </w:pPr>
    </w:p>
    <w:p>
      <w:pPr>
        <w:ind w:left="984"/>
        <w:spacing w:after="0"/>
        <w:rPr>
          <w:sz w:val="20"/>
          <w:szCs w:val="20"/>
          <w:color w:val="auto"/>
        </w:rPr>
      </w:pPr>
      <w:r>
        <w:rPr>
          <w:rFonts w:ascii="Arial" w:cs="Arial" w:eastAsia="Arial" w:hAnsi="Arial"/>
          <w:sz w:val="18"/>
          <w:szCs w:val="18"/>
          <w:color w:val="auto"/>
        </w:rPr>
        <w:t xml:space="preserve">3.2.5. </w:t>
      </w:r>
      <w:r>
        <w:rPr>
          <w:rFonts w:ascii="Arial" w:cs="Arial" w:eastAsia="Arial" w:hAnsi="Arial"/>
          <w:sz w:val="18"/>
          <w:szCs w:val="18"/>
          <w:u w:val="single" w:color="auto"/>
          <w:color w:val="auto"/>
        </w:rPr>
        <w:t>Report on Supply Chain Due Diligence</w:t>
      </w:r>
    </w:p>
    <w:p>
      <w:pPr>
        <w:spacing w:after="0" w:line="117" w:lineRule="exact"/>
        <w:rPr>
          <w:sz w:val="20"/>
          <w:szCs w:val="20"/>
          <w:color w:val="auto"/>
        </w:rPr>
      </w:pPr>
    </w:p>
    <w:p>
      <w:pPr>
        <w:ind w:left="444" w:right="320"/>
        <w:spacing w:after="0" w:line="277" w:lineRule="auto"/>
        <w:rPr>
          <w:sz w:val="20"/>
          <w:szCs w:val="20"/>
          <w:color w:val="auto"/>
        </w:rPr>
      </w:pPr>
      <w:r>
        <w:rPr>
          <w:rFonts w:ascii="Arial" w:cs="Arial" w:eastAsia="Arial" w:hAnsi="Arial"/>
          <w:sz w:val="18"/>
          <w:szCs w:val="18"/>
          <w:color w:val="auto"/>
        </w:rPr>
        <w:t>In addition to this report, see our website at https://www.flowserve.com/en/more/about-company/conflict-minerals-policy for our full Conflict Minerals policy.</w:t>
      </w:r>
    </w:p>
    <w:p>
      <w:pPr>
        <w:spacing w:after="0" w:line="315" w:lineRule="exact"/>
        <w:rPr>
          <w:sz w:val="20"/>
          <w:szCs w:val="20"/>
          <w:color w:val="auto"/>
        </w:rPr>
      </w:pPr>
    </w:p>
    <w:p>
      <w:pPr>
        <w:ind w:left="444" w:right="8880" w:hanging="444"/>
        <w:spacing w:after="0" w:line="453" w:lineRule="auto"/>
        <w:tabs>
          <w:tab w:leader="none" w:pos="436" w:val="left"/>
        </w:tabs>
        <w:numPr>
          <w:ilvl w:val="0"/>
          <w:numId w:val="8"/>
        </w:numPr>
        <w:rPr>
          <w:rFonts w:ascii="Arial" w:cs="Arial" w:eastAsia="Arial" w:hAnsi="Arial"/>
          <w:sz w:val="15"/>
          <w:szCs w:val="15"/>
          <w:b w:val="1"/>
          <w:bCs w:val="1"/>
          <w:color w:val="auto"/>
        </w:rPr>
      </w:pPr>
      <w:r>
        <w:rPr>
          <w:rFonts w:ascii="Arial" w:cs="Arial" w:eastAsia="Arial" w:hAnsi="Arial"/>
          <w:sz w:val="15"/>
          <w:szCs w:val="15"/>
          <w:b w:val="1"/>
          <w:bCs w:val="1"/>
          <w:color w:val="auto"/>
        </w:rPr>
        <w:t>Due Diligence Results Survey Responses</w:t>
      </w:r>
    </w:p>
    <w:p>
      <w:pPr>
        <w:ind w:left="444" w:right="60"/>
        <w:spacing w:after="0" w:line="279" w:lineRule="auto"/>
        <w:rPr>
          <w:rFonts w:ascii="Arial" w:cs="Arial" w:eastAsia="Arial" w:hAnsi="Arial"/>
          <w:sz w:val="15"/>
          <w:szCs w:val="15"/>
          <w:b w:val="1"/>
          <w:bCs w:val="1"/>
          <w:color w:val="auto"/>
        </w:rPr>
      </w:pPr>
      <w:r>
        <w:rPr>
          <w:rFonts w:ascii="Arial" w:cs="Arial" w:eastAsia="Arial" w:hAnsi="Arial"/>
          <w:sz w:val="17"/>
          <w:szCs w:val="17"/>
          <w:color w:val="auto"/>
        </w:rPr>
        <w:t>Responses included the names of 402 entities listed by our suppliers as smelters or refiners, and based on our due diligence to-date and information available from public sources, the Company believes that only 334 of the entities identified by our suppliers are engaged in smelting and/or refining activities. See Appendix A. Approximately 69% (or 229) of the 334 entities were identified as full conformant using the RMI Full Conformant Smelter List. The final comparison was done utilizing the certified smelter listings from May 20, 2022.</w:t>
      </w:r>
    </w:p>
    <w:p>
      <w:pPr>
        <w:spacing w:after="0" w:line="63" w:lineRule="exact"/>
        <w:rPr>
          <w:rFonts w:ascii="Arial" w:cs="Arial" w:eastAsia="Arial" w:hAnsi="Arial"/>
          <w:sz w:val="15"/>
          <w:szCs w:val="15"/>
          <w:b w:val="1"/>
          <w:bCs w:val="1"/>
          <w:color w:val="auto"/>
        </w:rPr>
      </w:pPr>
    </w:p>
    <w:p>
      <w:pPr>
        <w:ind w:left="444" w:right="260"/>
        <w:spacing w:after="0" w:line="259" w:lineRule="auto"/>
        <w:rPr>
          <w:rFonts w:ascii="Arial" w:cs="Arial" w:eastAsia="Arial" w:hAnsi="Arial"/>
          <w:sz w:val="15"/>
          <w:szCs w:val="15"/>
          <w:b w:val="1"/>
          <w:bCs w:val="1"/>
          <w:color w:val="auto"/>
        </w:rPr>
      </w:pPr>
      <w:r>
        <w:rPr>
          <w:rFonts w:ascii="Arial" w:cs="Arial" w:eastAsia="Arial" w:hAnsi="Arial"/>
          <w:sz w:val="18"/>
          <w:szCs w:val="18"/>
          <w:color w:val="auto"/>
        </w:rPr>
        <w:t>The large majority of our suppliers who responded provided data at the company or divisional level, as described above, and, as such, we were unable to specify the smelters or refiners used for components supplied to Flowserve. We are therefore unable to determine whether any of the Conflict Minerals reported by the suppliers were contained in components or parts supplied to us or to validate that any of these smelters or refiners are actually in our supply chain.</w:t>
      </w:r>
    </w:p>
    <w:p>
      <w:pPr>
        <w:spacing w:after="0" w:line="119" w:lineRule="exact"/>
        <w:rPr>
          <w:sz w:val="20"/>
          <w:szCs w:val="20"/>
          <w:color w:val="auto"/>
        </w:rPr>
      </w:pPr>
    </w:p>
    <w:p>
      <w:pPr>
        <w:jc w:val="center"/>
        <w:ind w:right="-23"/>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84"/>
          </w:cols>
          <w:pgMar w:left="436" w:top="274" w:right="479" w:bottom="1440" w:gutter="0" w:footer="0" w:header="0"/>
        </w:sectPr>
      </w:pPr>
    </w:p>
    <w:bookmarkStart w:id="6" w:name="page7"/>
    <w:bookmarkEnd w:id="6"/>
    <w:p>
      <w:pPr>
        <w:ind w:left="444"/>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Efforts to determine mine or location of origin</w:t>
      </w:r>
    </w:p>
    <w:p>
      <w:pPr>
        <w:spacing w:after="0" w:line="121" w:lineRule="exact"/>
        <w:rPr>
          <w:sz w:val="20"/>
          <w:szCs w:val="20"/>
          <w:color w:val="auto"/>
        </w:rPr>
      </w:pPr>
    </w:p>
    <w:p>
      <w:pPr>
        <w:ind w:left="444"/>
        <w:spacing w:after="0" w:line="311" w:lineRule="auto"/>
        <w:rPr>
          <w:sz w:val="20"/>
          <w:szCs w:val="20"/>
          <w:color w:val="auto"/>
        </w:rPr>
      </w:pPr>
      <w:r>
        <w:rPr>
          <w:rFonts w:ascii="Arial" w:cs="Arial" w:eastAsia="Arial" w:hAnsi="Arial"/>
          <w:sz w:val="16"/>
          <w:szCs w:val="16"/>
          <w:color w:val="auto"/>
        </w:rPr>
        <w:t>Through our participation in RMI, the OECD implementation programs, and requesting our suppliers to complete the template, we have determined that seeking information from our suppliers and their diligence with their sub-suppliers about Conflict Minerals smelters and refiners in our supply chain represents the most reasonable effort to determine the mines or locations of origin of the Conflict Minerals in our supply chain.</w:t>
      </w:r>
    </w:p>
    <w:p>
      <w:pPr>
        <w:spacing w:after="0" w:line="253"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Smelters or Refiners</w:t>
      </w:r>
    </w:p>
    <w:p>
      <w:pPr>
        <w:spacing w:after="0" w:line="121" w:lineRule="exact"/>
        <w:rPr>
          <w:sz w:val="20"/>
          <w:szCs w:val="20"/>
          <w:color w:val="auto"/>
        </w:rPr>
      </w:pPr>
    </w:p>
    <w:p>
      <w:pPr>
        <w:jc w:val="both"/>
        <w:ind w:left="444" w:right="120"/>
        <w:spacing w:after="0" w:line="257" w:lineRule="auto"/>
        <w:rPr>
          <w:sz w:val="20"/>
          <w:szCs w:val="20"/>
          <w:color w:val="auto"/>
        </w:rPr>
      </w:pPr>
      <w:r>
        <w:rPr>
          <w:rFonts w:ascii="Arial" w:cs="Arial" w:eastAsia="Arial" w:hAnsi="Arial"/>
          <w:sz w:val="18"/>
          <w:szCs w:val="18"/>
          <w:color w:val="auto"/>
        </w:rPr>
        <w:t>To date, Flowserve has received very limited information regarding smelters and/or refiners involved in the Company’s supply chain, as well as the origin of any materials they may potentially produce for Flowserve’s suppliers. The majority of our suppliers were unable to represent and/or confirm to us that Conflict Minerals from entities that are smelters and refiners had actually been included in components such suppliers supplied to Flowserve. Again, this reality is principally due to the fact that our suppliers provided data at a company or divisional level, and not specific to the products such suppliers produce for Flowserve.</w:t>
      </w:r>
    </w:p>
    <w:p>
      <w:pPr>
        <w:spacing w:after="0" w:line="80" w:lineRule="exact"/>
        <w:rPr>
          <w:sz w:val="20"/>
          <w:szCs w:val="20"/>
          <w:color w:val="auto"/>
        </w:rPr>
      </w:pPr>
    </w:p>
    <w:p>
      <w:pPr>
        <w:ind w:left="444" w:right="100"/>
        <w:spacing w:after="0" w:line="259" w:lineRule="auto"/>
        <w:rPr>
          <w:sz w:val="20"/>
          <w:szCs w:val="20"/>
          <w:color w:val="auto"/>
        </w:rPr>
      </w:pPr>
      <w:r>
        <w:rPr>
          <w:rFonts w:ascii="Arial" w:cs="Arial" w:eastAsia="Arial" w:hAnsi="Arial"/>
          <w:sz w:val="18"/>
          <w:szCs w:val="18"/>
          <w:color w:val="auto"/>
        </w:rPr>
        <w:t>Appendix A, as attached, contains a list of smelters and refiners that Flowserve suppliers identified as being present in their supply chains that we believe may have processed 3TG contained in materials supplied to the Company. While our suppliers have provided names of additional entities to those listed in Appendix A, our review process remains ongoing related to the determination of whether they are smelters or refiners for Conflict Minerals relevant to our products.</w:t>
      </w:r>
    </w:p>
    <w:p>
      <w:pPr>
        <w:spacing w:after="0" w:line="79" w:lineRule="exact"/>
        <w:rPr>
          <w:sz w:val="20"/>
          <w:szCs w:val="20"/>
          <w:color w:val="auto"/>
        </w:rPr>
      </w:pPr>
    </w:p>
    <w:p>
      <w:pPr>
        <w:ind w:left="444"/>
        <w:spacing w:after="0"/>
        <w:rPr>
          <w:sz w:val="20"/>
          <w:szCs w:val="20"/>
          <w:color w:val="auto"/>
        </w:rPr>
      </w:pPr>
      <w:r>
        <w:rPr>
          <w:rFonts w:ascii="Arial" w:cs="Arial" w:eastAsia="Arial" w:hAnsi="Arial"/>
          <w:sz w:val="18"/>
          <w:szCs w:val="18"/>
          <w:color w:val="auto"/>
        </w:rPr>
        <w:t>We are uncertain of the Conflict Mineral status of the products that we manufacture that are subject to the reporting obligations of</w:t>
      </w:r>
    </w:p>
    <w:p>
      <w:pPr>
        <w:spacing w:after="0" w:line="23" w:lineRule="exact"/>
        <w:rPr>
          <w:sz w:val="20"/>
          <w:szCs w:val="20"/>
          <w:color w:val="auto"/>
        </w:rPr>
      </w:pPr>
    </w:p>
    <w:p>
      <w:pPr>
        <w:ind w:left="444" w:right="220"/>
        <w:spacing w:after="0" w:line="255" w:lineRule="auto"/>
        <w:rPr>
          <w:sz w:val="20"/>
          <w:szCs w:val="20"/>
          <w:color w:val="auto"/>
        </w:rPr>
      </w:pPr>
      <w:r>
        <w:rPr>
          <w:rFonts w:ascii="Arial" w:cs="Arial" w:eastAsia="Arial" w:hAnsi="Arial"/>
          <w:sz w:val="18"/>
          <w:szCs w:val="18"/>
          <w:color w:val="auto"/>
        </w:rPr>
        <w:t>Rule 13p-1, because we have been unable to determine the origin of the Conflict Minerals they contain or to determine whether they come from recycled or scrap sources; the facilities used to process them; their country of origin; or their mine or location of origin. This said, however, Flowserve will continue due diligence efforts going forward.</w:t>
      </w:r>
    </w:p>
    <w:p>
      <w:pPr>
        <w:spacing w:after="0" w:line="334" w:lineRule="exact"/>
        <w:rPr>
          <w:sz w:val="20"/>
          <w:szCs w:val="20"/>
          <w:color w:val="auto"/>
        </w:rPr>
      </w:pPr>
    </w:p>
    <w:p>
      <w:pPr>
        <w:ind w:left="424" w:hanging="424"/>
        <w:spacing w:after="0"/>
        <w:tabs>
          <w:tab w:leader="none" w:pos="424"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Due Diligence Improvement Steps</w:t>
      </w:r>
    </w:p>
    <w:p>
      <w:pPr>
        <w:spacing w:after="0" w:line="121" w:lineRule="exact"/>
        <w:rPr>
          <w:rFonts w:ascii="Arial" w:cs="Arial" w:eastAsia="Arial" w:hAnsi="Arial"/>
          <w:sz w:val="18"/>
          <w:szCs w:val="18"/>
          <w:b w:val="1"/>
          <w:bCs w:val="1"/>
          <w:color w:val="auto"/>
        </w:rPr>
      </w:pPr>
    </w:p>
    <w:p>
      <w:pPr>
        <w:ind w:left="444" w:right="2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We intend to take the following steps to improve the due diligence conducted to further mitigate any risk that the necessary Conflict Minerals in our products could benefit armed groups in the DRC or adjoining countries:</w:t>
      </w:r>
    </w:p>
    <w:p>
      <w:pPr>
        <w:spacing w:after="0" w:line="75" w:lineRule="exact"/>
        <w:rPr>
          <w:rFonts w:ascii="Arial" w:cs="Arial" w:eastAsia="Arial" w:hAnsi="Arial"/>
          <w:sz w:val="18"/>
          <w:szCs w:val="18"/>
          <w:b w:val="1"/>
          <w:bCs w:val="1"/>
          <w:color w:val="auto"/>
        </w:rPr>
      </w:pPr>
    </w:p>
    <w:p>
      <w:pPr>
        <w:ind w:left="1424" w:hanging="439"/>
        <w:spacing w:after="0"/>
        <w:tabs>
          <w:tab w:leader="none" w:pos="1424" w:val="left"/>
        </w:tabs>
        <w:numPr>
          <w:ilvl w:val="1"/>
          <w:numId w:val="9"/>
        </w:numPr>
        <w:rPr>
          <w:rFonts w:ascii="Arial" w:cs="Arial" w:eastAsia="Arial" w:hAnsi="Arial"/>
          <w:sz w:val="17"/>
          <w:szCs w:val="17"/>
          <w:color w:val="auto"/>
        </w:rPr>
      </w:pPr>
      <w:r>
        <w:rPr>
          <w:rFonts w:ascii="Arial" w:cs="Arial" w:eastAsia="Arial" w:hAnsi="Arial"/>
          <w:sz w:val="17"/>
          <w:szCs w:val="17"/>
          <w:color w:val="auto"/>
        </w:rPr>
        <w:t>Continue requesting and implementing a Conflict Minerals flow-down clause in new or renewed supplier long term agreements.</w:t>
      </w:r>
    </w:p>
    <w:p>
      <w:pPr>
        <w:spacing w:after="0" w:line="142" w:lineRule="exact"/>
        <w:rPr>
          <w:rFonts w:ascii="Arial" w:cs="Arial" w:eastAsia="Arial" w:hAnsi="Arial"/>
          <w:sz w:val="17"/>
          <w:szCs w:val="17"/>
          <w:color w:val="auto"/>
        </w:rPr>
      </w:pPr>
    </w:p>
    <w:p>
      <w:pPr>
        <w:ind w:left="1424" w:right="140" w:hanging="439"/>
        <w:spacing w:after="0" w:line="277" w:lineRule="auto"/>
        <w:tabs>
          <w:tab w:leader="none" w:pos="1424" w:val="left"/>
        </w:tabs>
        <w:numPr>
          <w:ilvl w:val="1"/>
          <w:numId w:val="9"/>
        </w:numPr>
        <w:rPr>
          <w:rFonts w:ascii="Arial" w:cs="Arial" w:eastAsia="Arial" w:hAnsi="Arial"/>
          <w:sz w:val="18"/>
          <w:szCs w:val="18"/>
          <w:color w:val="auto"/>
        </w:rPr>
      </w:pPr>
      <w:r>
        <w:rPr>
          <w:rFonts w:ascii="Arial" w:cs="Arial" w:eastAsia="Arial" w:hAnsi="Arial"/>
          <w:sz w:val="18"/>
          <w:szCs w:val="18"/>
          <w:color w:val="auto"/>
        </w:rPr>
        <w:t>Continue to engage with suppliers and direct them to training resources to increase the response rate and improve the content of the supplier survey responses.</w:t>
      </w:r>
    </w:p>
    <w:p>
      <w:pPr>
        <w:spacing w:after="0" w:line="75" w:lineRule="exact"/>
        <w:rPr>
          <w:rFonts w:ascii="Arial" w:cs="Arial" w:eastAsia="Arial" w:hAnsi="Arial"/>
          <w:sz w:val="18"/>
          <w:szCs w:val="18"/>
          <w:color w:val="auto"/>
        </w:rPr>
      </w:pPr>
    </w:p>
    <w:p>
      <w:pPr>
        <w:ind w:left="1424" w:right="60" w:hanging="439"/>
        <w:spacing w:after="0" w:line="263" w:lineRule="auto"/>
        <w:tabs>
          <w:tab w:leader="none" w:pos="1424" w:val="left"/>
        </w:tabs>
        <w:numPr>
          <w:ilvl w:val="1"/>
          <w:numId w:val="9"/>
        </w:numPr>
        <w:rPr>
          <w:rFonts w:ascii="Arial" w:cs="Arial" w:eastAsia="Arial" w:hAnsi="Arial"/>
          <w:sz w:val="18"/>
          <w:szCs w:val="18"/>
          <w:color w:val="auto"/>
        </w:rPr>
      </w:pPr>
      <w:r>
        <w:rPr>
          <w:rFonts w:ascii="Arial" w:cs="Arial" w:eastAsia="Arial" w:hAnsi="Arial"/>
          <w:sz w:val="18"/>
          <w:szCs w:val="18"/>
          <w:color w:val="auto"/>
        </w:rPr>
        <w:t>Intensify the identification of and communication with Flowserve’s second-tier smelters and refiners – i.e., smelters and refiners that sell Conflict Minerals directly to Flowserve’s first-tier suppliers and push to increase the number of smelters and refiners that participate in RMAP.</w:t>
      </w:r>
    </w:p>
    <w:p>
      <w:pPr>
        <w:spacing w:after="0" w:line="89" w:lineRule="exact"/>
        <w:rPr>
          <w:rFonts w:ascii="Arial" w:cs="Arial" w:eastAsia="Arial" w:hAnsi="Arial"/>
          <w:sz w:val="18"/>
          <w:szCs w:val="18"/>
          <w:color w:val="auto"/>
        </w:rPr>
      </w:pPr>
    </w:p>
    <w:p>
      <w:pPr>
        <w:ind w:left="1424" w:hanging="439"/>
        <w:spacing w:after="0"/>
        <w:tabs>
          <w:tab w:leader="none" w:pos="1424" w:val="left"/>
        </w:tabs>
        <w:numPr>
          <w:ilvl w:val="1"/>
          <w:numId w:val="9"/>
        </w:numPr>
        <w:rPr>
          <w:rFonts w:ascii="Arial" w:cs="Arial" w:eastAsia="Arial" w:hAnsi="Arial"/>
          <w:sz w:val="17"/>
          <w:szCs w:val="17"/>
          <w:color w:val="auto"/>
        </w:rPr>
      </w:pPr>
      <w:r>
        <w:rPr>
          <w:rFonts w:ascii="Arial" w:cs="Arial" w:eastAsia="Arial" w:hAnsi="Arial"/>
          <w:sz w:val="17"/>
          <w:szCs w:val="17"/>
          <w:color w:val="auto"/>
        </w:rPr>
        <w:t>Spread best practices learned during execution of due diligence process in previous years across Flowserve business units.</w:t>
      </w:r>
    </w:p>
    <w:p>
      <w:pPr>
        <w:spacing w:after="0" w:line="142" w:lineRule="exact"/>
        <w:rPr>
          <w:rFonts w:ascii="Arial" w:cs="Arial" w:eastAsia="Arial" w:hAnsi="Arial"/>
          <w:sz w:val="17"/>
          <w:szCs w:val="17"/>
          <w:color w:val="auto"/>
        </w:rPr>
      </w:pPr>
    </w:p>
    <w:p>
      <w:pPr>
        <w:ind w:left="1424" w:right="160" w:hanging="439"/>
        <w:spacing w:after="0" w:line="308" w:lineRule="auto"/>
        <w:tabs>
          <w:tab w:leader="none" w:pos="1424" w:val="left"/>
        </w:tabs>
        <w:numPr>
          <w:ilvl w:val="1"/>
          <w:numId w:val="9"/>
        </w:numPr>
        <w:rPr>
          <w:rFonts w:ascii="Arial" w:cs="Arial" w:eastAsia="Arial" w:hAnsi="Arial"/>
          <w:sz w:val="17"/>
          <w:szCs w:val="17"/>
          <w:color w:val="auto"/>
        </w:rPr>
      </w:pPr>
      <w:r>
        <w:rPr>
          <w:rFonts w:ascii="Arial" w:cs="Arial" w:eastAsia="Arial" w:hAnsi="Arial"/>
          <w:sz w:val="17"/>
          <w:szCs w:val="17"/>
          <w:color w:val="auto"/>
        </w:rPr>
        <w:t>Continue to engage suppliers found to be supplying us with Conflict Minerals from sources that support conflict in the DRC or any adjoining country and seek to establish an alternative source of Conflict Minerals that does not support such conflict.</w:t>
      </w:r>
    </w:p>
    <w:p>
      <w:pPr>
        <w:spacing w:after="0" w:line="51" w:lineRule="exact"/>
        <w:rPr>
          <w:rFonts w:ascii="Arial" w:cs="Arial" w:eastAsia="Arial" w:hAnsi="Arial"/>
          <w:sz w:val="17"/>
          <w:szCs w:val="17"/>
          <w:color w:val="auto"/>
        </w:rPr>
      </w:pPr>
    </w:p>
    <w:p>
      <w:pPr>
        <w:ind w:left="1424" w:right="280" w:hanging="439"/>
        <w:spacing w:after="0" w:line="277" w:lineRule="auto"/>
        <w:tabs>
          <w:tab w:leader="none" w:pos="1424" w:val="left"/>
        </w:tabs>
        <w:numPr>
          <w:ilvl w:val="1"/>
          <w:numId w:val="9"/>
        </w:numPr>
        <w:rPr>
          <w:rFonts w:ascii="Arial" w:cs="Arial" w:eastAsia="Arial" w:hAnsi="Arial"/>
          <w:sz w:val="18"/>
          <w:szCs w:val="18"/>
          <w:color w:val="auto"/>
        </w:rPr>
      </w:pPr>
      <w:r>
        <w:rPr>
          <w:rFonts w:ascii="Arial" w:cs="Arial" w:eastAsia="Arial" w:hAnsi="Arial"/>
          <w:sz w:val="18"/>
          <w:szCs w:val="18"/>
          <w:color w:val="auto"/>
        </w:rPr>
        <w:t>Continue to work with the OECD and relevant trade associations to define and improve best practices and build leverage over the supply chain in accordance with the OECD Guidance.</w:t>
      </w:r>
    </w:p>
    <w:p>
      <w:pPr>
        <w:spacing w:after="0" w:line="75" w:lineRule="exact"/>
        <w:rPr>
          <w:rFonts w:ascii="Arial" w:cs="Arial" w:eastAsia="Arial" w:hAnsi="Arial"/>
          <w:sz w:val="18"/>
          <w:szCs w:val="18"/>
          <w:color w:val="auto"/>
        </w:rPr>
      </w:pPr>
    </w:p>
    <w:p>
      <w:pPr>
        <w:ind w:left="1424" w:right="480" w:hanging="439"/>
        <w:spacing w:after="0" w:line="277" w:lineRule="auto"/>
        <w:tabs>
          <w:tab w:leader="none" w:pos="1424" w:val="left"/>
        </w:tabs>
        <w:numPr>
          <w:ilvl w:val="1"/>
          <w:numId w:val="9"/>
        </w:numPr>
        <w:rPr>
          <w:rFonts w:ascii="Arial" w:cs="Arial" w:eastAsia="Arial" w:hAnsi="Arial"/>
          <w:sz w:val="18"/>
          <w:szCs w:val="18"/>
          <w:color w:val="auto"/>
        </w:rPr>
      </w:pPr>
      <w:r>
        <w:rPr>
          <w:rFonts w:ascii="Arial" w:cs="Arial" w:eastAsia="Arial" w:hAnsi="Arial"/>
          <w:sz w:val="18"/>
          <w:szCs w:val="18"/>
          <w:color w:val="auto"/>
        </w:rPr>
        <w:t>Evaluate the current processes and procedure with the intent to further enhance the robustness of Flowserve’s Conflict Mineral program.</w:t>
      </w:r>
    </w:p>
    <w:p>
      <w:pPr>
        <w:spacing w:after="0" w:line="103"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024"/>
          </w:cols>
          <w:pgMar w:left="436" w:top="270" w:right="439" w:bottom="1440" w:gutter="0" w:footer="0" w:header="0"/>
        </w:sectPr>
      </w:pPr>
    </w:p>
    <w:bookmarkStart w:id="7" w:name="page8"/>
    <w:bookmarkEnd w:id="7"/>
    <w:p>
      <w:pPr>
        <w:ind w:left="49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APPENDIX A</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0" w:type="dxa"/>
            <w:vAlign w:val="bottom"/>
          </w:tcPr>
          <w:p>
            <w:pPr>
              <w:spacing w:after="0"/>
              <w:rPr>
                <w:sz w:val="14"/>
                <w:szCs w:val="14"/>
                <w:color w:val="auto"/>
              </w:rPr>
            </w:pPr>
          </w:p>
        </w:tc>
        <w:tc>
          <w:tcPr>
            <w:tcW w:w="380" w:type="dxa"/>
            <w:vAlign w:val="bottom"/>
          </w:tcPr>
          <w:p>
            <w:pPr>
              <w:spacing w:after="0"/>
              <w:rPr>
                <w:sz w:val="20"/>
                <w:szCs w:val="20"/>
                <w:color w:val="auto"/>
              </w:rPr>
            </w:pPr>
            <w:r>
              <w:rPr>
                <w:rFonts w:ascii="Arial" w:cs="Arial" w:eastAsia="Arial" w:hAnsi="Arial"/>
                <w:sz w:val="14"/>
                <w:szCs w:val="14"/>
                <w:b w:val="1"/>
                <w:bCs w:val="1"/>
                <w:color w:val="auto"/>
              </w:rPr>
              <w:t>Metal</w:t>
            </w:r>
          </w:p>
        </w:tc>
        <w:tc>
          <w:tcPr>
            <w:tcW w:w="1300" w:type="dxa"/>
            <w:vAlign w:val="bottom"/>
            <w:gridSpan w:val="3"/>
          </w:tcPr>
          <w:p>
            <w:pPr>
              <w:ind w:left="480"/>
              <w:spacing w:after="0"/>
              <w:rPr>
                <w:sz w:val="20"/>
                <w:szCs w:val="20"/>
                <w:color w:val="auto"/>
              </w:rPr>
            </w:pPr>
            <w:r>
              <w:rPr>
                <w:rFonts w:ascii="Arial" w:cs="Arial" w:eastAsia="Arial" w:hAnsi="Arial"/>
                <w:sz w:val="14"/>
                <w:szCs w:val="14"/>
                <w:b w:val="1"/>
                <w:bCs w:val="1"/>
                <w:color w:val="auto"/>
              </w:rPr>
              <w:t>Smelter ID</w:t>
            </w:r>
          </w:p>
        </w:tc>
        <w:tc>
          <w:tcPr>
            <w:tcW w:w="4640" w:type="dxa"/>
            <w:vAlign w:val="bottom"/>
            <w:gridSpan w:val="3"/>
          </w:tcPr>
          <w:p>
            <w:pPr>
              <w:ind w:left="1620"/>
              <w:spacing w:after="0"/>
              <w:rPr>
                <w:sz w:val="20"/>
                <w:szCs w:val="20"/>
                <w:color w:val="auto"/>
              </w:rPr>
            </w:pPr>
            <w:r>
              <w:rPr>
                <w:rFonts w:ascii="Arial" w:cs="Arial" w:eastAsia="Arial" w:hAnsi="Arial"/>
                <w:sz w:val="14"/>
                <w:szCs w:val="14"/>
                <w:b w:val="1"/>
                <w:bCs w:val="1"/>
                <w:color w:val="auto"/>
              </w:rPr>
              <w:t>Standard Smelter Name</w:t>
            </w:r>
          </w:p>
        </w:tc>
        <w:tc>
          <w:tcPr>
            <w:tcW w:w="1740" w:type="dxa"/>
            <w:vAlign w:val="bottom"/>
          </w:tcPr>
          <w:p>
            <w:pPr>
              <w:spacing w:after="0"/>
              <w:rPr>
                <w:sz w:val="14"/>
                <w:szCs w:val="14"/>
                <w:color w:val="auto"/>
              </w:rPr>
            </w:pPr>
          </w:p>
        </w:tc>
        <w:tc>
          <w:tcPr>
            <w:tcW w:w="1100" w:type="dxa"/>
            <w:vAlign w:val="bottom"/>
          </w:tcPr>
          <w:p>
            <w:pPr>
              <w:spacing w:after="0"/>
              <w:rPr>
                <w:sz w:val="20"/>
                <w:szCs w:val="20"/>
                <w:color w:val="auto"/>
              </w:rPr>
            </w:pPr>
            <w:r>
              <w:rPr>
                <w:rFonts w:ascii="Arial" w:cs="Arial" w:eastAsia="Arial" w:hAnsi="Arial"/>
                <w:sz w:val="14"/>
                <w:szCs w:val="14"/>
                <w:b w:val="1"/>
                <w:bCs w:val="1"/>
                <w:color w:val="auto"/>
                <w:w w:val="93"/>
              </w:rPr>
              <w:t>Country Location</w:t>
            </w:r>
          </w:p>
        </w:tc>
      </w:tr>
      <w:tr>
        <w:trPr>
          <w:trHeight w:val="20"/>
        </w:trPr>
        <w:tc>
          <w:tcPr>
            <w:tcW w:w="20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r>
      <w:tr>
        <w:trPr>
          <w:trHeight w:val="195"/>
        </w:trPr>
        <w:tc>
          <w:tcPr>
            <w:tcW w:w="580" w:type="dxa"/>
            <w:vAlign w:val="bottom"/>
            <w:gridSpan w:val="2"/>
          </w:tcPr>
          <w:p>
            <w:pPr>
              <w:spacing w:after="0" w:line="195" w:lineRule="exact"/>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line="195" w:lineRule="exact"/>
              <w:rPr>
                <w:sz w:val="20"/>
                <w:szCs w:val="20"/>
                <w:color w:val="auto"/>
              </w:rPr>
            </w:pPr>
            <w:r>
              <w:rPr>
                <w:rFonts w:ascii="Arial" w:cs="Arial" w:eastAsia="Arial" w:hAnsi="Arial"/>
                <w:sz w:val="18"/>
                <w:szCs w:val="18"/>
                <w:color w:val="auto"/>
              </w:rPr>
              <w:t>CID002763</w:t>
            </w:r>
          </w:p>
        </w:tc>
        <w:tc>
          <w:tcPr>
            <w:tcW w:w="4640" w:type="dxa"/>
            <w:vAlign w:val="bottom"/>
            <w:gridSpan w:val="3"/>
          </w:tcPr>
          <w:p>
            <w:pPr>
              <w:ind w:left="120"/>
              <w:spacing w:after="0" w:line="195" w:lineRule="exact"/>
              <w:rPr>
                <w:sz w:val="20"/>
                <w:szCs w:val="20"/>
                <w:color w:val="auto"/>
              </w:rPr>
            </w:pPr>
            <w:r>
              <w:rPr>
                <w:rFonts w:ascii="Arial" w:cs="Arial" w:eastAsia="Arial" w:hAnsi="Arial"/>
                <w:sz w:val="18"/>
                <w:szCs w:val="18"/>
                <w:color w:val="auto"/>
              </w:rPr>
              <w:t>8853 S.p.A.</w:t>
            </w:r>
          </w:p>
        </w:tc>
        <w:tc>
          <w:tcPr>
            <w:tcW w:w="2840" w:type="dxa"/>
            <w:vAlign w:val="bottom"/>
            <w:gridSpan w:val="2"/>
          </w:tcPr>
          <w:p>
            <w:pPr>
              <w:ind w:left="100"/>
              <w:spacing w:after="0" w:line="195" w:lineRule="exact"/>
              <w:rPr>
                <w:sz w:val="20"/>
                <w:szCs w:val="20"/>
                <w:color w:val="auto"/>
              </w:rPr>
            </w:pPr>
            <w:r>
              <w:rPr>
                <w:rFonts w:ascii="Arial" w:cs="Arial" w:eastAsia="Arial" w:hAnsi="Arial"/>
                <w:sz w:val="18"/>
                <w:szCs w:val="18"/>
                <w:color w:val="auto"/>
              </w:rPr>
              <w:t>ITALY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CID002920   ABC Refinery Pty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AUSTRALIA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CID002708   Abington Reldan Metals, LLC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CID000015</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Advanced Chemical Company</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CID003185</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African Gold Refinery</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UGANDA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CID000035</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Agosi AG</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GERMANY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CID000019   Aida Chemical Industries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CID002560   Al Etihad Gold Refinery DMCC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ARAB EMIRATES</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CID003500</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Alexy Metals</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CID000041   Almalyk Mining and Metallurgical Complex (AMMC)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UZBEKISTAN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CID000058   AngloGold Ashanti Corrego do Sitio Mineracao</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BRAZIL</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CID000077</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Argor-Heraeus S.A.</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SWITZERLAND</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CID000082</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Asahi Pretec Corp.</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CID000924   Asahi Refining Canada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CANADA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CID000920   Asahi Refining USA Inc.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CID000090   Asaka Riken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CID000103   Atasay Kuyumculuk Sanayi Ve Ticaret A.S.</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TURKEY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CID002850   AU Traders and Refiners</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SOUTH AFRICA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CID003461   Augmont Enterprises Private Limited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CID000113</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Aurubis AG</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GERMANY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CID002863</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Bangalore Refinery</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w w:val="95"/>
              </w:rPr>
              <w:t>CID000128   Bangko Sentral ng Pilipinas (Central Bank of the Philippines)</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PHILIPPINES</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CID000157</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Boliden AB</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SWEDEN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CID000176   C. Hafner GmbH + Co. KG</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GERMANY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CID003421   C.I Metales Procesados Industriales SAS</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COLOMBIA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CID000180</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Caridad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MEXICO</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CID000185   CCR Refinery –Glencore Canada Corporation</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CANADA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CID000189   Cendres + Metaux S.A.</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SWITZERLAND</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CID003382   CGR Metalloys Pvt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CID000233</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Chimet S.p.A.</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ITALY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CID000264</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Chugai Mining</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CID000343   Daye Non-Ferrous Metals Mining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CID002867   Degussa Sonne / Mond Goldhandel GmbH</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GERMANY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CID003348   Dijllah Gold Refinery FZC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ARAB EMIRATES</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CID000401</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Dowa</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CID000359   DSC (Do Sung Corporation)</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KOREA, REPUBLIC OF</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CID000425   Eco-System Recycling Co., Ltd. East Plant</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CID003424   Eco-System Recycling Co., Ltd. North Plant</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CID003425   Eco-System Recycling Co., Ltd. West Plant</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30"/>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CID003487   Emerald Jewel Industry India Limited (Unit 1)</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INDIA</w:t>
            </w:r>
          </w:p>
        </w:tc>
      </w:tr>
      <w:tr>
        <w:trPr>
          <w:trHeight w:val="364"/>
        </w:trPr>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40" w:type="dxa"/>
            <w:vAlign w:val="bottom"/>
            <w:gridSpan w:val="3"/>
          </w:tcPr>
          <w:p>
            <w:pPr>
              <w:ind w:left="3580"/>
              <w:spacing w:after="0"/>
              <w:rPr>
                <w:sz w:val="20"/>
                <w:szCs w:val="20"/>
                <w:color w:val="auto"/>
              </w:rPr>
            </w:pPr>
            <w:r>
              <w:rPr>
                <w:rFonts w:ascii="Arial" w:cs="Arial" w:eastAsia="Arial" w:hAnsi="Arial"/>
                <w:sz w:val="18"/>
                <w:szCs w:val="18"/>
                <w:color w:val="auto"/>
              </w:rPr>
              <w:t>5</w:t>
            </w:r>
          </w:p>
        </w:tc>
        <w:tc>
          <w:tcPr>
            <w:tcW w:w="1740" w:type="dxa"/>
            <w:vAlign w:val="bottom"/>
          </w:tcPr>
          <w:p>
            <w:pPr>
              <w:spacing w:after="0"/>
              <w:rPr>
                <w:sz w:val="24"/>
                <w:szCs w:val="24"/>
                <w:color w:val="auto"/>
              </w:rPr>
            </w:pPr>
          </w:p>
        </w:tc>
        <w:tc>
          <w:tcPr>
            <w:tcW w:w="1100" w:type="dxa"/>
            <w:vAlign w:val="bottom"/>
          </w:tcPr>
          <w:p>
            <w:pPr>
              <w:spacing w:after="0"/>
              <w:rPr>
                <w:sz w:val="24"/>
                <w:szCs w:val="24"/>
                <w:color w:val="auto"/>
              </w:rPr>
            </w:pPr>
          </w:p>
        </w:tc>
      </w:tr>
    </w:tbl>
    <w:p>
      <w:pPr>
        <w:sectPr>
          <w:pgSz w:w="11900" w:h="16838" w:orient="portrait"/>
          <w:cols w:equalWidth="0" w:num="1">
            <w:col w:w="10019"/>
          </w:cols>
          <w:pgMar w:left="440" w:top="274" w:right="1440" w:bottom="1440" w:gutter="0" w:footer="0" w:header="0"/>
        </w:sectPr>
      </w:pPr>
    </w:p>
    <w:bookmarkStart w:id="8" w:name="page9"/>
    <w:bookmarkEnd w:id="8"/>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71"/>
        </w:trPr>
        <w:tc>
          <w:tcPr>
            <w:tcW w:w="200" w:type="dxa"/>
            <w:vAlign w:val="bottom"/>
          </w:tcPr>
          <w:p>
            <w:pPr>
              <w:spacing w:after="0"/>
              <w:rPr>
                <w:sz w:val="14"/>
                <w:szCs w:val="14"/>
                <w:color w:val="auto"/>
              </w:rPr>
            </w:pPr>
          </w:p>
        </w:tc>
        <w:tc>
          <w:tcPr>
            <w:tcW w:w="380" w:type="dxa"/>
            <w:vAlign w:val="bottom"/>
          </w:tcPr>
          <w:p>
            <w:pPr>
              <w:spacing w:after="0"/>
              <w:rPr>
                <w:sz w:val="20"/>
                <w:szCs w:val="20"/>
                <w:color w:val="auto"/>
              </w:rPr>
            </w:pPr>
            <w:r>
              <w:rPr>
                <w:rFonts w:ascii="Arial" w:cs="Arial" w:eastAsia="Arial" w:hAnsi="Arial"/>
                <w:sz w:val="14"/>
                <w:szCs w:val="14"/>
                <w:b w:val="1"/>
                <w:bCs w:val="1"/>
                <w:color w:val="auto"/>
              </w:rPr>
              <w:t>Metal</w:t>
            </w:r>
          </w:p>
        </w:tc>
        <w:tc>
          <w:tcPr>
            <w:tcW w:w="1300" w:type="dxa"/>
            <w:vAlign w:val="bottom"/>
            <w:gridSpan w:val="3"/>
          </w:tcPr>
          <w:p>
            <w:pPr>
              <w:ind w:left="480"/>
              <w:spacing w:after="0"/>
              <w:rPr>
                <w:sz w:val="20"/>
                <w:szCs w:val="20"/>
                <w:color w:val="auto"/>
              </w:rPr>
            </w:pPr>
            <w:r>
              <w:rPr>
                <w:rFonts w:ascii="Arial" w:cs="Arial" w:eastAsia="Arial" w:hAnsi="Arial"/>
                <w:sz w:val="14"/>
                <w:szCs w:val="14"/>
                <w:b w:val="1"/>
                <w:bCs w:val="1"/>
                <w:color w:val="auto"/>
              </w:rPr>
              <w:t>Smelter ID</w:t>
            </w:r>
          </w:p>
        </w:tc>
        <w:tc>
          <w:tcPr>
            <w:tcW w:w="4640" w:type="dxa"/>
            <w:vAlign w:val="bottom"/>
            <w:gridSpan w:val="3"/>
          </w:tcPr>
          <w:p>
            <w:pPr>
              <w:ind w:left="1620"/>
              <w:spacing w:after="0"/>
              <w:rPr>
                <w:sz w:val="20"/>
                <w:szCs w:val="20"/>
                <w:color w:val="auto"/>
              </w:rPr>
            </w:pPr>
            <w:r>
              <w:rPr>
                <w:rFonts w:ascii="Arial" w:cs="Arial" w:eastAsia="Arial" w:hAnsi="Arial"/>
                <w:sz w:val="14"/>
                <w:szCs w:val="14"/>
                <w:b w:val="1"/>
                <w:bCs w:val="1"/>
                <w:color w:val="auto"/>
              </w:rPr>
              <w:t>Standard Smelter Name</w:t>
            </w:r>
          </w:p>
        </w:tc>
        <w:tc>
          <w:tcPr>
            <w:tcW w:w="1740" w:type="dxa"/>
            <w:vAlign w:val="bottom"/>
          </w:tcPr>
          <w:p>
            <w:pPr>
              <w:spacing w:after="0"/>
              <w:rPr>
                <w:sz w:val="14"/>
                <w:szCs w:val="14"/>
                <w:color w:val="auto"/>
              </w:rPr>
            </w:pPr>
          </w:p>
        </w:tc>
        <w:tc>
          <w:tcPr>
            <w:tcW w:w="1100" w:type="dxa"/>
            <w:vAlign w:val="bottom"/>
          </w:tcPr>
          <w:p>
            <w:pPr>
              <w:spacing w:after="0"/>
              <w:rPr>
                <w:sz w:val="20"/>
                <w:szCs w:val="20"/>
                <w:color w:val="auto"/>
              </w:rPr>
            </w:pPr>
            <w:r>
              <w:rPr>
                <w:rFonts w:ascii="Arial" w:cs="Arial" w:eastAsia="Arial" w:hAnsi="Arial"/>
                <w:sz w:val="14"/>
                <w:szCs w:val="14"/>
                <w:b w:val="1"/>
                <w:bCs w:val="1"/>
                <w:color w:val="auto"/>
                <w:w w:val="93"/>
              </w:rPr>
              <w:t>Country Location</w:t>
            </w:r>
          </w:p>
        </w:tc>
      </w:tr>
      <w:tr>
        <w:trPr>
          <w:trHeight w:val="20"/>
        </w:trPr>
        <w:tc>
          <w:tcPr>
            <w:tcW w:w="20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r>
      <w:tr>
        <w:trPr>
          <w:trHeight w:val="195"/>
        </w:trPr>
        <w:tc>
          <w:tcPr>
            <w:tcW w:w="580" w:type="dxa"/>
            <w:vAlign w:val="bottom"/>
            <w:gridSpan w:val="2"/>
          </w:tcPr>
          <w:p>
            <w:pPr>
              <w:spacing w:after="0" w:line="195" w:lineRule="exact"/>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line="195" w:lineRule="exact"/>
              <w:rPr>
                <w:sz w:val="20"/>
                <w:szCs w:val="20"/>
                <w:color w:val="auto"/>
              </w:rPr>
            </w:pPr>
            <w:r>
              <w:rPr>
                <w:rFonts w:ascii="Arial" w:cs="Arial" w:eastAsia="Arial" w:hAnsi="Arial"/>
                <w:sz w:val="18"/>
                <w:szCs w:val="18"/>
                <w:color w:val="auto"/>
              </w:rPr>
              <w:t>CID003488   Emerald Jewel Industry India Limited (Unit 2)</w:t>
            </w:r>
          </w:p>
        </w:tc>
        <w:tc>
          <w:tcPr>
            <w:tcW w:w="2840" w:type="dxa"/>
            <w:vAlign w:val="bottom"/>
            <w:gridSpan w:val="2"/>
          </w:tcPr>
          <w:p>
            <w:pPr>
              <w:ind w:left="100"/>
              <w:spacing w:after="0" w:line="195" w:lineRule="exact"/>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CID003489   Emerald Jewel Industry India Limited (Unit 3)</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CID003490   Emerald Jewel Industry India Limited (Unit 4)</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CID002561</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Emirates Gold DMCC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ARAB EMIRATES</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CID002515   Fidelity Printers and Refiners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ZIMBABWE</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CID002584</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Fujairah Gold FZC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ARAB EMIRATES</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CID002459</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Geib Refining Corporation</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CID002852   GGC Gujrat Gold Centre Pvt.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CID003186</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Gold Coast Refinery</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GHANA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CID002243   Gold Refinery of Zijin Mining Group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CID001909   Great Wall Precious Metals Co., Ltd. of CBPM</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CID002312   Guangdong Jinding Gold Limited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w w:val="98"/>
              </w:rPr>
              <w:t>CID000651   Guoda Safina High-Tech Environmental Refinery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CID000671   Hangzhou Fuchunjiang Smelting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CID000694   Heimerle + Meule GmbH</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GERMANY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CID000711   Heraeus Germany GmbH Co. KG</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GERMANY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CID000707   Heraeus Metals Hong Kong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CID000767   Hunan Chenzhou Mining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CID000773   Hunan Guiyang yinxing Nonferrous Smelting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CID000778   HwaSeong CJ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KOREA, REPUBLIC OF</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CID002587</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Industrial Refining Company</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BELGIUM</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w w:val="95"/>
              </w:rPr>
              <w:t>CID000801   Inner Mongolia Qiankun Gold and Silver Refinery Share Co.,</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Ltd.</w:t>
            </w:r>
          </w:p>
        </w:tc>
        <w:tc>
          <w:tcPr>
            <w:tcW w:w="174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CID002562   International Precious Metal Refiners</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ARAB EMIRATES</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CID000807   Ishifuku Metal Industry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CID000814</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Istanbul Gold Refinery</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TURKEY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CID002765</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Italpreziosi</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ITALY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CID002893</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JALAN &amp; Company</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CID000823</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Japan Mint</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CID000855   Jiangxi Copper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CID000927   JSC Ekaterinburg Non-Ferrous Metal Processing Plant</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CID000493</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JSC Novosibirsk Refinery</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CID000929</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JSC Uralelectromed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CID000937   JX Nippon Mining &amp; Metals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CID003497</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K.A. Rasmussen</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NORWAY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CID002563</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Kaloti Precious Metals</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ARAB EMIRATES</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CID000956</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Kazakhmys Smelting LLC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KAZAKHSTAN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CID000957</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Kazzinc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KAZAKHSTAN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CID000969   Kennecott Utah Copper LLC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CID002511   KGHM Polska Miedz Spolka Akcyjna</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POLAND</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CID000981   Kojima Chemicals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CID002605   Korea Zinc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KOREA, REPUBLIC OF</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CID003463   Kundan Care Products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CID001029</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Kyrgyzaltyn JSC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KYRGYZSTAN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CID002865   Kyshtym Copper-Electrolytic Plant ZAO</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CID001032   L’azurde Company For Jewelry</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SAUDI ARABIA</w:t>
            </w:r>
          </w:p>
        </w:tc>
      </w:tr>
      <w:tr>
        <w:trPr>
          <w:trHeight w:val="230"/>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40" w:type="dxa"/>
            <w:vAlign w:val="bottom"/>
            <w:gridSpan w:val="6"/>
          </w:tcPr>
          <w:p>
            <w:pPr>
              <w:ind w:left="320"/>
              <w:spacing w:after="0"/>
              <w:rPr>
                <w:sz w:val="20"/>
                <w:szCs w:val="20"/>
                <w:color w:val="auto"/>
              </w:rPr>
            </w:pPr>
            <w:r>
              <w:rPr>
                <w:rFonts w:ascii="Arial" w:cs="Arial" w:eastAsia="Arial" w:hAnsi="Arial"/>
                <w:sz w:val="18"/>
                <w:szCs w:val="18"/>
                <w:color w:val="auto"/>
              </w:rPr>
              <w:t>CID001056   Lingbao Gold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364"/>
        </w:trPr>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40" w:type="dxa"/>
            <w:vAlign w:val="bottom"/>
            <w:gridSpan w:val="3"/>
          </w:tcPr>
          <w:p>
            <w:pPr>
              <w:ind w:left="3580"/>
              <w:spacing w:after="0"/>
              <w:rPr>
                <w:sz w:val="20"/>
                <w:szCs w:val="20"/>
                <w:color w:val="auto"/>
              </w:rPr>
            </w:pPr>
            <w:r>
              <w:rPr>
                <w:rFonts w:ascii="Arial" w:cs="Arial" w:eastAsia="Arial" w:hAnsi="Arial"/>
                <w:sz w:val="18"/>
                <w:szCs w:val="18"/>
                <w:color w:val="auto"/>
              </w:rPr>
              <w:t>6</w:t>
            </w:r>
          </w:p>
        </w:tc>
        <w:tc>
          <w:tcPr>
            <w:tcW w:w="1740" w:type="dxa"/>
            <w:vAlign w:val="bottom"/>
          </w:tcPr>
          <w:p>
            <w:pPr>
              <w:spacing w:after="0"/>
              <w:rPr>
                <w:sz w:val="24"/>
                <w:szCs w:val="24"/>
                <w:color w:val="auto"/>
              </w:rPr>
            </w:pPr>
          </w:p>
        </w:tc>
        <w:tc>
          <w:tcPr>
            <w:tcW w:w="1100" w:type="dxa"/>
            <w:vAlign w:val="bottom"/>
          </w:tcPr>
          <w:p>
            <w:pPr>
              <w:spacing w:after="0"/>
              <w:rPr>
                <w:sz w:val="24"/>
                <w:szCs w:val="24"/>
                <w:color w:val="auto"/>
              </w:rPr>
            </w:pPr>
          </w:p>
        </w:tc>
      </w:tr>
    </w:tbl>
    <w:p>
      <w:pPr>
        <w:sectPr>
          <w:pgSz w:w="11900" w:h="16838" w:orient="portrait"/>
          <w:cols w:equalWidth="0" w:num="1">
            <w:col w:w="10019"/>
          </w:cols>
          <w:pgMar w:left="440" w:top="265" w:right="1440" w:bottom="1440" w:gutter="0" w:footer="0" w:header="0"/>
        </w:sectPr>
      </w:pPr>
    </w:p>
    <w:bookmarkStart w:id="9" w:name="page10"/>
    <w:bookmarkEnd w:id="9"/>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71"/>
        </w:trPr>
        <w:tc>
          <w:tcPr>
            <w:tcW w:w="200" w:type="dxa"/>
            <w:vAlign w:val="bottom"/>
          </w:tcPr>
          <w:p>
            <w:pPr>
              <w:spacing w:after="0"/>
              <w:rPr>
                <w:sz w:val="14"/>
                <w:szCs w:val="14"/>
                <w:color w:val="auto"/>
              </w:rPr>
            </w:pPr>
          </w:p>
        </w:tc>
        <w:tc>
          <w:tcPr>
            <w:tcW w:w="380" w:type="dxa"/>
            <w:vAlign w:val="bottom"/>
          </w:tcPr>
          <w:p>
            <w:pPr>
              <w:spacing w:after="0"/>
              <w:rPr>
                <w:sz w:val="20"/>
                <w:szCs w:val="20"/>
                <w:color w:val="auto"/>
              </w:rPr>
            </w:pPr>
            <w:r>
              <w:rPr>
                <w:rFonts w:ascii="Arial" w:cs="Arial" w:eastAsia="Arial" w:hAnsi="Arial"/>
                <w:sz w:val="14"/>
                <w:szCs w:val="14"/>
                <w:b w:val="1"/>
                <w:bCs w:val="1"/>
                <w:color w:val="auto"/>
              </w:rPr>
              <w:t>Metal</w:t>
            </w:r>
          </w:p>
        </w:tc>
        <w:tc>
          <w:tcPr>
            <w:tcW w:w="1300" w:type="dxa"/>
            <w:vAlign w:val="bottom"/>
            <w:gridSpan w:val="3"/>
          </w:tcPr>
          <w:p>
            <w:pPr>
              <w:ind w:left="480"/>
              <w:spacing w:after="0"/>
              <w:rPr>
                <w:sz w:val="20"/>
                <w:szCs w:val="20"/>
                <w:color w:val="auto"/>
              </w:rPr>
            </w:pPr>
            <w:r>
              <w:rPr>
                <w:rFonts w:ascii="Arial" w:cs="Arial" w:eastAsia="Arial" w:hAnsi="Arial"/>
                <w:sz w:val="14"/>
                <w:szCs w:val="14"/>
                <w:b w:val="1"/>
                <w:bCs w:val="1"/>
                <w:color w:val="auto"/>
              </w:rPr>
              <w:t>Smelter ID</w:t>
            </w:r>
          </w:p>
        </w:tc>
        <w:tc>
          <w:tcPr>
            <w:tcW w:w="4620" w:type="dxa"/>
            <w:vAlign w:val="bottom"/>
            <w:gridSpan w:val="3"/>
          </w:tcPr>
          <w:p>
            <w:pPr>
              <w:ind w:left="1620"/>
              <w:spacing w:after="0"/>
              <w:rPr>
                <w:sz w:val="20"/>
                <w:szCs w:val="20"/>
                <w:color w:val="auto"/>
              </w:rPr>
            </w:pPr>
            <w:r>
              <w:rPr>
                <w:rFonts w:ascii="Arial" w:cs="Arial" w:eastAsia="Arial" w:hAnsi="Arial"/>
                <w:sz w:val="14"/>
                <w:szCs w:val="14"/>
                <w:b w:val="1"/>
                <w:bCs w:val="1"/>
                <w:color w:val="auto"/>
              </w:rPr>
              <w:t>Standard Smelter Name</w:t>
            </w:r>
          </w:p>
        </w:tc>
        <w:tc>
          <w:tcPr>
            <w:tcW w:w="1760" w:type="dxa"/>
            <w:vAlign w:val="bottom"/>
          </w:tcPr>
          <w:p>
            <w:pPr>
              <w:spacing w:after="0"/>
              <w:rPr>
                <w:sz w:val="14"/>
                <w:szCs w:val="14"/>
                <w:color w:val="auto"/>
              </w:rPr>
            </w:pPr>
          </w:p>
        </w:tc>
        <w:tc>
          <w:tcPr>
            <w:tcW w:w="1100" w:type="dxa"/>
            <w:vAlign w:val="bottom"/>
          </w:tcPr>
          <w:p>
            <w:pPr>
              <w:spacing w:after="0"/>
              <w:rPr>
                <w:sz w:val="20"/>
                <w:szCs w:val="20"/>
                <w:color w:val="auto"/>
              </w:rPr>
            </w:pPr>
            <w:r>
              <w:rPr>
                <w:rFonts w:ascii="Arial" w:cs="Arial" w:eastAsia="Arial" w:hAnsi="Arial"/>
                <w:sz w:val="14"/>
                <w:szCs w:val="14"/>
                <w:b w:val="1"/>
                <w:bCs w:val="1"/>
                <w:color w:val="auto"/>
                <w:w w:val="93"/>
              </w:rPr>
              <w:t>Country Location</w:t>
            </w:r>
          </w:p>
        </w:tc>
      </w:tr>
      <w:tr>
        <w:trPr>
          <w:trHeight w:val="20"/>
        </w:trPr>
        <w:tc>
          <w:tcPr>
            <w:tcW w:w="20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r>
      <w:tr>
        <w:trPr>
          <w:trHeight w:val="195"/>
        </w:trPr>
        <w:tc>
          <w:tcPr>
            <w:tcW w:w="580" w:type="dxa"/>
            <w:vAlign w:val="bottom"/>
            <w:gridSpan w:val="2"/>
          </w:tcPr>
          <w:p>
            <w:pPr>
              <w:spacing w:after="0" w:line="195" w:lineRule="exact"/>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line="195" w:lineRule="exact"/>
              <w:rPr>
                <w:sz w:val="20"/>
                <w:szCs w:val="20"/>
                <w:color w:val="auto"/>
              </w:rPr>
            </w:pPr>
            <w:r>
              <w:rPr>
                <w:rFonts w:ascii="Arial" w:cs="Arial" w:eastAsia="Arial" w:hAnsi="Arial"/>
                <w:sz w:val="18"/>
                <w:szCs w:val="18"/>
                <w:color w:val="auto"/>
              </w:rPr>
              <w:t>CID001058</w:t>
            </w:r>
          </w:p>
        </w:tc>
        <w:tc>
          <w:tcPr>
            <w:tcW w:w="4620" w:type="dxa"/>
            <w:vAlign w:val="bottom"/>
            <w:gridSpan w:val="3"/>
          </w:tcPr>
          <w:p>
            <w:pPr>
              <w:ind w:left="120"/>
              <w:spacing w:after="0" w:line="195" w:lineRule="exact"/>
              <w:rPr>
                <w:sz w:val="20"/>
                <w:szCs w:val="20"/>
                <w:color w:val="auto"/>
              </w:rPr>
            </w:pPr>
            <w:r>
              <w:rPr>
                <w:rFonts w:ascii="Arial" w:cs="Arial" w:eastAsia="Arial" w:hAnsi="Arial"/>
                <w:sz w:val="18"/>
                <w:szCs w:val="18"/>
                <w:color w:val="auto"/>
              </w:rPr>
              <w:t>Lingbao Jinyuan Tonghui Refinery Co., Ltd.</w:t>
            </w:r>
          </w:p>
        </w:tc>
        <w:tc>
          <w:tcPr>
            <w:tcW w:w="2860" w:type="dxa"/>
            <w:vAlign w:val="bottom"/>
            <w:gridSpan w:val="2"/>
          </w:tcPr>
          <w:p>
            <w:pPr>
              <w:ind w:left="120"/>
              <w:spacing w:after="0" w:line="195" w:lineRule="exact"/>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CID002762</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L’Orfebre S.A.</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ANDORRA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CID001078</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LS-NIKKO Copper Inc.</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KOREA, REPUBLIC OF</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CID000689</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LT Metal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KOREA, REPUBLIC OF</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CID001093</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Luoyang Zijin Yinhui Gold Refinery Co.,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CID002606</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Marsam Metals</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BRAZIL</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CID001113</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Materion</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CID001119</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Matsuda Sangyo Co.,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CID003548</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MD Overseas</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CID003575</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Metal Concentrators SA (Pty)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SOUTH AFRICA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CID003557</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Metallix Refining Inc.</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20" w:type="dxa"/>
            <w:vAlign w:val="bottom"/>
            <w:gridSpan w:val="6"/>
          </w:tcPr>
          <w:p>
            <w:pPr>
              <w:ind w:left="320"/>
              <w:spacing w:after="0"/>
              <w:rPr>
                <w:sz w:val="20"/>
                <w:szCs w:val="20"/>
                <w:color w:val="auto"/>
              </w:rPr>
            </w:pPr>
            <w:r>
              <w:rPr>
                <w:rFonts w:ascii="Arial" w:cs="Arial" w:eastAsia="Arial" w:hAnsi="Arial"/>
                <w:sz w:val="18"/>
                <w:szCs w:val="18"/>
                <w:color w:val="auto"/>
              </w:rPr>
              <w:t>CID001149   Metalor Technologies (Hong Kong)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20" w:type="dxa"/>
            <w:vAlign w:val="bottom"/>
            <w:gridSpan w:val="6"/>
          </w:tcPr>
          <w:p>
            <w:pPr>
              <w:ind w:left="320"/>
              <w:spacing w:after="0"/>
              <w:rPr>
                <w:sz w:val="20"/>
                <w:szCs w:val="20"/>
                <w:color w:val="auto"/>
              </w:rPr>
            </w:pPr>
            <w:r>
              <w:rPr>
                <w:rFonts w:ascii="Arial" w:cs="Arial" w:eastAsia="Arial" w:hAnsi="Arial"/>
                <w:sz w:val="18"/>
                <w:szCs w:val="18"/>
                <w:color w:val="auto"/>
              </w:rPr>
              <w:t>CID001152   Metalor Technologies (Singapore) Pte.,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SINGAPORE</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20" w:type="dxa"/>
            <w:vAlign w:val="bottom"/>
            <w:gridSpan w:val="6"/>
          </w:tcPr>
          <w:p>
            <w:pPr>
              <w:ind w:left="320"/>
              <w:spacing w:after="0"/>
              <w:rPr>
                <w:sz w:val="20"/>
                <w:szCs w:val="20"/>
                <w:color w:val="auto"/>
              </w:rPr>
            </w:pPr>
            <w:r>
              <w:rPr>
                <w:rFonts w:ascii="Arial" w:cs="Arial" w:eastAsia="Arial" w:hAnsi="Arial"/>
                <w:sz w:val="18"/>
                <w:szCs w:val="18"/>
                <w:color w:val="auto"/>
              </w:rPr>
              <w:t>CID001147   Metalor Technologies (Suzhou)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CID001153</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Metalor Technologies S.A.</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SWITZERLAND</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20" w:type="dxa"/>
            <w:vAlign w:val="bottom"/>
            <w:gridSpan w:val="6"/>
          </w:tcPr>
          <w:p>
            <w:pPr>
              <w:ind w:left="320"/>
              <w:spacing w:after="0"/>
              <w:rPr>
                <w:sz w:val="20"/>
                <w:szCs w:val="20"/>
                <w:color w:val="auto"/>
              </w:rPr>
            </w:pPr>
            <w:r>
              <w:rPr>
                <w:rFonts w:ascii="Arial" w:cs="Arial" w:eastAsia="Arial" w:hAnsi="Arial"/>
                <w:sz w:val="18"/>
                <w:szCs w:val="18"/>
                <w:color w:val="auto"/>
              </w:rPr>
              <w:t>CID001157   Metalor USA Refining Corporation</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20" w:type="dxa"/>
            <w:vAlign w:val="bottom"/>
            <w:gridSpan w:val="6"/>
          </w:tcPr>
          <w:p>
            <w:pPr>
              <w:ind w:left="320"/>
              <w:spacing w:after="0"/>
              <w:rPr>
                <w:sz w:val="20"/>
                <w:szCs w:val="20"/>
                <w:color w:val="auto"/>
              </w:rPr>
            </w:pPr>
            <w:r>
              <w:rPr>
                <w:rFonts w:ascii="Arial" w:cs="Arial" w:eastAsia="Arial" w:hAnsi="Arial"/>
                <w:sz w:val="18"/>
                <w:szCs w:val="18"/>
                <w:color w:val="auto"/>
              </w:rPr>
              <w:t>CID001161   Metalurgica Met-Mex Penoles S.A. De C.V.</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MEXICO</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CID001188</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Mitsubishi Materials Corporation</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5920" w:type="dxa"/>
            <w:vAlign w:val="bottom"/>
            <w:gridSpan w:val="6"/>
          </w:tcPr>
          <w:p>
            <w:pPr>
              <w:ind w:left="320"/>
              <w:spacing w:after="0"/>
              <w:rPr>
                <w:sz w:val="20"/>
                <w:szCs w:val="20"/>
                <w:color w:val="auto"/>
              </w:rPr>
            </w:pPr>
            <w:r>
              <w:rPr>
                <w:rFonts w:ascii="Arial" w:cs="Arial" w:eastAsia="Arial" w:hAnsi="Arial"/>
                <w:sz w:val="18"/>
                <w:szCs w:val="18"/>
                <w:color w:val="auto"/>
              </w:rPr>
              <w:t>CID001193   Mitsui Mining and Smelting Co.,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CID002509</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MMTC-PAMP India Pvt.,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INDIA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CID002857</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Modeltech Sdn Bhd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MALAYSIA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CID002282</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Morris and Watson</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NEW ZEALAND</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CID001204</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Moscow Special Alloys Processing Plant</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RUSSIAN FEDERATION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CID001220</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Nadir Metal Rafineri San. Ve Tic. A.S.</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TURKEY</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CID001236</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Navoi Mining and Metallurgical Combinat</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UZBEKISTAN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CID003189</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NH Recytech Company</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KOREA, REPUBLIC OF</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CID001259</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Nihon Material Co.,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CID002779</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w w:val="99"/>
              </w:rPr>
              <w:t>Ogussa Osterreichische Gold- und Silber-Scheideanstalt</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AUSTRIA</w:t>
            </w:r>
          </w:p>
        </w:tc>
      </w:tr>
      <w:tr>
        <w:trPr>
          <w:trHeight w:val="216"/>
        </w:trPr>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GmbH</w:t>
            </w:r>
          </w:p>
        </w:tc>
        <w:tc>
          <w:tcPr>
            <w:tcW w:w="176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CID001325</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Ohura Precious Metal Industry Co.,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JAPAN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CID001326</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w w:val="93"/>
              </w:rPr>
              <w:t>OJSC “The Gulidov Krasnoyarsk Non-Ferrous Metals Plant”</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RUSSIAN FEDERATION</w:t>
            </w:r>
          </w:p>
        </w:tc>
      </w:tr>
      <w:tr>
        <w:trPr>
          <w:trHeight w:val="216"/>
        </w:trPr>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(OJSC Krastsvetmet)</w:t>
            </w:r>
          </w:p>
        </w:tc>
        <w:tc>
          <w:tcPr>
            <w:tcW w:w="176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CID001352</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PAMP S.A.</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SWITZERLAND</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CID002872</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Pease &amp; Curren</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CID001362</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Penglai Penggang Gold Industry Co.,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CID002919</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Planta Recuperadora de Metales SpA</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CHILE</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CID001386</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Prioksky Plant of Non-Ferrous Metals</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RUSSIAN FEDERATION</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CID001397</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PT Aneka Tambang (Persero) Tbk</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INDONESIA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CID001498</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PX Precinox S.A.</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SWITZERLAND</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CID003324</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QG Refining, LLC</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CID001512</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Rand Refinery (Pty)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SOUTH AFRICA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CID000522</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Refinery of Seemine Gold Co., Ltd.</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CHINA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CID002582</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REMONDIS PMR B.V.</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NETHERLANDS</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CID001534</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Royal Canadian Mint</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CANADA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CID002761</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SAAMP</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FRANCE</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CID001546</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Sabin Metal Corp.</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UNITED STATES OF AMERICA</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CID002973</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Safimet S.p.A</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ITALY</w:t>
            </w:r>
          </w:p>
        </w:tc>
      </w:tr>
      <w:tr>
        <w:trPr>
          <w:trHeight w:val="230"/>
        </w:trPr>
        <w:tc>
          <w:tcPr>
            <w:tcW w:w="580" w:type="dxa"/>
            <w:vAlign w:val="bottom"/>
            <w:gridSpan w:val="2"/>
          </w:tcPr>
          <w:p>
            <w:pPr>
              <w:spacing w:after="0"/>
              <w:rPr>
                <w:sz w:val="20"/>
                <w:szCs w:val="20"/>
                <w:color w:val="auto"/>
              </w:rPr>
            </w:pPr>
            <w:r>
              <w:rPr>
                <w:rFonts w:ascii="Arial" w:cs="Arial" w:eastAsia="Arial" w:hAnsi="Arial"/>
                <w:sz w:val="18"/>
                <w:szCs w:val="18"/>
                <w:color w:val="auto"/>
              </w:rPr>
              <w:t>Gold</w:t>
            </w:r>
          </w:p>
        </w:tc>
        <w:tc>
          <w:tcPr>
            <w:tcW w:w="1300" w:type="dxa"/>
            <w:vAlign w:val="bottom"/>
            <w:gridSpan w:val="3"/>
          </w:tcPr>
          <w:p>
            <w:pPr>
              <w:ind w:left="320"/>
              <w:spacing w:after="0"/>
              <w:rPr>
                <w:sz w:val="20"/>
                <w:szCs w:val="20"/>
                <w:color w:val="auto"/>
              </w:rPr>
            </w:pPr>
            <w:r>
              <w:rPr>
                <w:rFonts w:ascii="Arial" w:cs="Arial" w:eastAsia="Arial" w:hAnsi="Arial"/>
                <w:sz w:val="18"/>
                <w:szCs w:val="18"/>
                <w:color w:val="auto"/>
              </w:rPr>
              <w:t>CID002290</w:t>
            </w:r>
          </w:p>
        </w:tc>
        <w:tc>
          <w:tcPr>
            <w:tcW w:w="4620" w:type="dxa"/>
            <w:vAlign w:val="bottom"/>
            <w:gridSpan w:val="3"/>
          </w:tcPr>
          <w:p>
            <w:pPr>
              <w:ind w:left="120"/>
              <w:spacing w:after="0"/>
              <w:rPr>
                <w:sz w:val="20"/>
                <w:szCs w:val="20"/>
                <w:color w:val="auto"/>
              </w:rPr>
            </w:pPr>
            <w:r>
              <w:rPr>
                <w:rFonts w:ascii="Arial" w:cs="Arial" w:eastAsia="Arial" w:hAnsi="Arial"/>
                <w:sz w:val="18"/>
                <w:szCs w:val="18"/>
                <w:color w:val="auto"/>
              </w:rPr>
              <w:t>SAFINA A.S.</w:t>
            </w:r>
          </w:p>
        </w:tc>
        <w:tc>
          <w:tcPr>
            <w:tcW w:w="2860" w:type="dxa"/>
            <w:vAlign w:val="bottom"/>
            <w:gridSpan w:val="2"/>
          </w:tcPr>
          <w:p>
            <w:pPr>
              <w:ind w:left="120"/>
              <w:spacing w:after="0"/>
              <w:rPr>
                <w:sz w:val="20"/>
                <w:szCs w:val="20"/>
                <w:color w:val="auto"/>
              </w:rPr>
            </w:pPr>
            <w:r>
              <w:rPr>
                <w:rFonts w:ascii="Arial" w:cs="Arial" w:eastAsia="Arial" w:hAnsi="Arial"/>
                <w:sz w:val="18"/>
                <w:szCs w:val="18"/>
                <w:color w:val="auto"/>
              </w:rPr>
              <w:t>CZECHIA</w:t>
            </w:r>
          </w:p>
        </w:tc>
      </w:tr>
      <w:tr>
        <w:trPr>
          <w:trHeight w:val="365"/>
        </w:trPr>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20" w:type="dxa"/>
            <w:vAlign w:val="bottom"/>
            <w:gridSpan w:val="3"/>
          </w:tcPr>
          <w:p>
            <w:pPr>
              <w:ind w:left="3580"/>
              <w:spacing w:after="0"/>
              <w:rPr>
                <w:sz w:val="20"/>
                <w:szCs w:val="20"/>
                <w:color w:val="auto"/>
              </w:rPr>
            </w:pPr>
            <w:r>
              <w:rPr>
                <w:rFonts w:ascii="Arial" w:cs="Arial" w:eastAsia="Arial" w:hAnsi="Arial"/>
                <w:sz w:val="18"/>
                <w:szCs w:val="18"/>
                <w:color w:val="auto"/>
              </w:rPr>
              <w:t>7</w:t>
            </w:r>
          </w:p>
        </w:tc>
        <w:tc>
          <w:tcPr>
            <w:tcW w:w="1760" w:type="dxa"/>
            <w:vAlign w:val="bottom"/>
          </w:tcPr>
          <w:p>
            <w:pPr>
              <w:spacing w:after="0"/>
              <w:rPr>
                <w:sz w:val="24"/>
                <w:szCs w:val="24"/>
                <w:color w:val="auto"/>
              </w:rPr>
            </w:pPr>
          </w:p>
        </w:tc>
        <w:tc>
          <w:tcPr>
            <w:tcW w:w="1100" w:type="dxa"/>
            <w:vAlign w:val="bottom"/>
          </w:tcPr>
          <w:p>
            <w:pPr>
              <w:spacing w:after="0"/>
              <w:rPr>
                <w:sz w:val="24"/>
                <w:szCs w:val="24"/>
                <w:color w:val="auto"/>
              </w:rPr>
            </w:pPr>
          </w:p>
        </w:tc>
      </w:tr>
    </w:tbl>
    <w:p>
      <w:pPr>
        <w:sectPr>
          <w:pgSz w:w="11900" w:h="16838" w:orient="portrait"/>
          <w:cols w:equalWidth="0" w:num="1">
            <w:col w:w="10019"/>
          </w:cols>
          <w:pgMar w:left="440" w:top="265" w:right="1440" w:bottom="1440" w:gutter="0" w:footer="0" w:header="0"/>
        </w:sectPr>
      </w:pPr>
    </w:p>
    <w:bookmarkStart w:id="10" w:name="page11"/>
    <w:bookmarkEnd w:id="10"/>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71"/>
        </w:trPr>
        <w:tc>
          <w:tcPr>
            <w:tcW w:w="200" w:type="dxa"/>
            <w:vAlign w:val="bottom"/>
          </w:tcPr>
          <w:p>
            <w:pPr>
              <w:spacing w:after="0"/>
              <w:rPr>
                <w:sz w:val="14"/>
                <w:szCs w:val="14"/>
                <w:color w:val="auto"/>
              </w:rPr>
            </w:pPr>
          </w:p>
        </w:tc>
        <w:tc>
          <w:tcPr>
            <w:tcW w:w="380" w:type="dxa"/>
            <w:vAlign w:val="bottom"/>
          </w:tcPr>
          <w:p>
            <w:pPr>
              <w:spacing w:after="0"/>
              <w:rPr>
                <w:sz w:val="20"/>
                <w:szCs w:val="20"/>
                <w:color w:val="auto"/>
              </w:rPr>
            </w:pPr>
            <w:r>
              <w:rPr>
                <w:rFonts w:ascii="Arial" w:cs="Arial" w:eastAsia="Arial" w:hAnsi="Arial"/>
                <w:sz w:val="14"/>
                <w:szCs w:val="14"/>
                <w:b w:val="1"/>
                <w:bCs w:val="1"/>
                <w:color w:val="auto"/>
              </w:rPr>
              <w:t>Metal</w:t>
            </w:r>
          </w:p>
        </w:tc>
        <w:tc>
          <w:tcPr>
            <w:tcW w:w="200" w:type="dxa"/>
            <w:vAlign w:val="bottom"/>
          </w:tcPr>
          <w:p>
            <w:pPr>
              <w:spacing w:after="0"/>
              <w:rPr>
                <w:sz w:val="14"/>
                <w:szCs w:val="14"/>
                <w:color w:val="auto"/>
              </w:rPr>
            </w:pPr>
          </w:p>
        </w:tc>
        <w:tc>
          <w:tcPr>
            <w:tcW w:w="1100" w:type="dxa"/>
            <w:vAlign w:val="bottom"/>
            <w:gridSpan w:val="3"/>
          </w:tcPr>
          <w:p>
            <w:pPr>
              <w:ind w:left="280"/>
              <w:spacing w:after="0"/>
              <w:rPr>
                <w:sz w:val="20"/>
                <w:szCs w:val="20"/>
                <w:color w:val="auto"/>
              </w:rPr>
            </w:pPr>
            <w:r>
              <w:rPr>
                <w:rFonts w:ascii="Arial" w:cs="Arial" w:eastAsia="Arial" w:hAnsi="Arial"/>
                <w:sz w:val="14"/>
                <w:szCs w:val="14"/>
                <w:b w:val="1"/>
                <w:bCs w:val="1"/>
                <w:color w:val="auto"/>
              </w:rPr>
              <w:t>Smelter ID</w:t>
            </w:r>
          </w:p>
        </w:tc>
        <w:tc>
          <w:tcPr>
            <w:tcW w:w="4500" w:type="dxa"/>
            <w:vAlign w:val="bottom"/>
            <w:gridSpan w:val="3"/>
          </w:tcPr>
          <w:p>
            <w:pPr>
              <w:ind w:left="1620"/>
              <w:spacing w:after="0"/>
              <w:rPr>
                <w:sz w:val="20"/>
                <w:szCs w:val="20"/>
                <w:color w:val="auto"/>
              </w:rPr>
            </w:pPr>
            <w:r>
              <w:rPr>
                <w:rFonts w:ascii="Arial" w:cs="Arial" w:eastAsia="Arial" w:hAnsi="Arial"/>
                <w:sz w:val="14"/>
                <w:szCs w:val="14"/>
                <w:b w:val="1"/>
                <w:bCs w:val="1"/>
                <w:color w:val="auto"/>
              </w:rPr>
              <w:t>Standard Smelter Name</w:t>
            </w:r>
          </w:p>
        </w:tc>
        <w:tc>
          <w:tcPr>
            <w:tcW w:w="1880" w:type="dxa"/>
            <w:vAlign w:val="bottom"/>
          </w:tcPr>
          <w:p>
            <w:pPr>
              <w:spacing w:after="0"/>
              <w:rPr>
                <w:sz w:val="14"/>
                <w:szCs w:val="14"/>
                <w:color w:val="auto"/>
              </w:rPr>
            </w:pPr>
          </w:p>
        </w:tc>
        <w:tc>
          <w:tcPr>
            <w:tcW w:w="1100" w:type="dxa"/>
            <w:vAlign w:val="bottom"/>
          </w:tcPr>
          <w:p>
            <w:pPr>
              <w:spacing w:after="0"/>
              <w:rPr>
                <w:sz w:val="20"/>
                <w:szCs w:val="20"/>
                <w:color w:val="auto"/>
              </w:rPr>
            </w:pPr>
            <w:r>
              <w:rPr>
                <w:rFonts w:ascii="Arial" w:cs="Arial" w:eastAsia="Arial" w:hAnsi="Arial"/>
                <w:sz w:val="14"/>
                <w:szCs w:val="14"/>
                <w:b w:val="1"/>
                <w:bCs w:val="1"/>
                <w:color w:val="auto"/>
                <w:w w:val="93"/>
              </w:rPr>
              <w:t>Country Location</w:t>
            </w:r>
          </w:p>
        </w:tc>
      </w:tr>
      <w:tr>
        <w:trPr>
          <w:trHeight w:val="20"/>
        </w:trPr>
        <w:tc>
          <w:tcPr>
            <w:tcW w:w="20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r>
      <w:tr>
        <w:trPr>
          <w:trHeight w:val="195"/>
        </w:trPr>
        <w:tc>
          <w:tcPr>
            <w:tcW w:w="580" w:type="dxa"/>
            <w:vAlign w:val="bottom"/>
            <w:gridSpan w:val="2"/>
          </w:tcPr>
          <w:p>
            <w:pPr>
              <w:spacing w:after="0" w:line="195" w:lineRule="exact"/>
              <w:rPr>
                <w:sz w:val="20"/>
                <w:szCs w:val="20"/>
                <w:color w:val="auto"/>
              </w:rPr>
            </w:pPr>
            <w:r>
              <w:rPr>
                <w:rFonts w:ascii="Arial" w:cs="Arial" w:eastAsia="Arial" w:hAnsi="Arial"/>
                <w:sz w:val="18"/>
                <w:szCs w:val="18"/>
                <w:color w:val="auto"/>
              </w:rPr>
              <w:t>Gold</w:t>
            </w:r>
          </w:p>
        </w:tc>
        <w:tc>
          <w:tcPr>
            <w:tcW w:w="200" w:type="dxa"/>
            <w:vAlign w:val="bottom"/>
          </w:tcPr>
          <w:p>
            <w:pPr>
              <w:spacing w:after="0"/>
              <w:rPr>
                <w:sz w:val="16"/>
                <w:szCs w:val="16"/>
                <w:color w:val="auto"/>
              </w:rPr>
            </w:pPr>
          </w:p>
        </w:tc>
        <w:tc>
          <w:tcPr>
            <w:tcW w:w="1100" w:type="dxa"/>
            <w:vAlign w:val="bottom"/>
            <w:gridSpan w:val="3"/>
          </w:tcPr>
          <w:p>
            <w:pPr>
              <w:ind w:left="120"/>
              <w:spacing w:after="0" w:line="195" w:lineRule="exact"/>
              <w:rPr>
                <w:sz w:val="20"/>
                <w:szCs w:val="20"/>
                <w:color w:val="auto"/>
              </w:rPr>
            </w:pPr>
            <w:r>
              <w:rPr>
                <w:rFonts w:ascii="Arial" w:cs="Arial" w:eastAsia="Arial" w:hAnsi="Arial"/>
                <w:sz w:val="18"/>
                <w:szCs w:val="18"/>
                <w:color w:val="auto"/>
              </w:rPr>
              <w:t>CID002853</w:t>
            </w:r>
          </w:p>
        </w:tc>
        <w:tc>
          <w:tcPr>
            <w:tcW w:w="4500" w:type="dxa"/>
            <w:vAlign w:val="bottom"/>
            <w:gridSpan w:val="3"/>
          </w:tcPr>
          <w:p>
            <w:pPr>
              <w:ind w:left="120"/>
              <w:spacing w:after="0" w:line="195" w:lineRule="exact"/>
              <w:rPr>
                <w:sz w:val="20"/>
                <w:szCs w:val="20"/>
                <w:color w:val="auto"/>
              </w:rPr>
            </w:pPr>
            <w:r>
              <w:rPr>
                <w:rFonts w:ascii="Arial" w:cs="Arial" w:eastAsia="Arial" w:hAnsi="Arial"/>
                <w:sz w:val="18"/>
                <w:szCs w:val="18"/>
                <w:color w:val="auto"/>
              </w:rPr>
              <w:t>Sai Refinery</w:t>
            </w:r>
          </w:p>
        </w:tc>
        <w:tc>
          <w:tcPr>
            <w:tcW w:w="2980" w:type="dxa"/>
            <w:vAlign w:val="bottom"/>
            <w:gridSpan w:val="2"/>
          </w:tcPr>
          <w:p>
            <w:pPr>
              <w:ind w:left="240"/>
              <w:spacing w:after="0" w:line="195" w:lineRule="exact"/>
              <w:rPr>
                <w:sz w:val="20"/>
                <w:szCs w:val="20"/>
                <w:color w:val="auto"/>
              </w:rPr>
            </w:pPr>
            <w:r>
              <w:rPr>
                <w:rFonts w:ascii="Arial" w:cs="Arial" w:eastAsia="Arial" w:hAnsi="Arial"/>
                <w:sz w:val="18"/>
                <w:szCs w:val="18"/>
                <w:color w:val="auto"/>
              </w:rPr>
              <w:t>INDIA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CID001555</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Samduck Precious Metals</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KOREA, REPUBLIC OF</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CID001562</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Samwon Metals Corp.</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KOREA, REPUBLIC OF</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CID003529   Sancus ZFS (L’Orfebre, SA)</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COLOMBIA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CID003540</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Sellem Industries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MAURITANIA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CID001585   SEMPSA Joyeria Plateria S.A.</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SPAIN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CID001916   Shandong Gold Smelting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CID002525   Shandong Humon Smelting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w w:val="98"/>
              </w:rPr>
              <w:t>CID001619   Shandong Tiancheng Biological Gold Industrial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CID001622   Shandong Zhaojin Gold &amp; Silver Refinery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CID002527   Shenzhen Zhonghenglong Real Industry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CID002588   Shirpur Gold Refinery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INDIA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CID001736   Sichuan Tianze Precious Metals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CID002516   Singway Technology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TAIWAN, PROVINCE OF 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w w:val="97"/>
              </w:rPr>
              <w:t>CID001756   SOE Shyolkovsky Factory of Secondary Precious Metals</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CID001761   Solar Applied Materials Technology Corp.</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TAIWAN, PROVINCE OF 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CID003383</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Sovereign Metals</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INDIA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w w:val="96"/>
              </w:rPr>
              <w:t>CID003153   State Research Institute Center for Physical Sciences and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LITHUANIA</w:t>
            </w:r>
          </w:p>
        </w:tc>
      </w:tr>
      <w:tr>
        <w:trPr>
          <w:trHeight w:val="216"/>
        </w:trPr>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Technology</w:t>
            </w:r>
          </w:p>
        </w:tc>
        <w:tc>
          <w:tcPr>
            <w:tcW w:w="188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CID002567</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Sudan Gold Refinery</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SUDAN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CID001798   Sumitomo Metal Mining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CID002918   SungEel HiMetal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KOREA, REPUBLIC OF</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CID001810   Super Dragon Technology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TAIWAN, PROVINCE OF 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CID002580</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T.C.A S.p.A</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ITALY</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CID001875   Tanaka Kikinzoku Kogyo K.K.</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CID001938   Tokuriki Honten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CID001947   Tongling Nonferrous Metals Group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CID002615</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TOO Tau-Ken-Altyn</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KAZAKHSTAN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CID001955</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Torecom</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KOREA, REPUBLIC OF</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CID002314   Umicore Precious Metals Thailand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THAILAND</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CID001980   Umicore S.A. Business Unit Precious Metals Refining</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BELGIUM</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CID001993   United Precious Metal Refining, Inc.</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CID002003</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Valcambi S.A.</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SWITZERLAND</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CID003617</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Value Trading</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BELGIUM</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CID003615</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WEEEREFINING</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FRANCE</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CID002030   Western Australian Mint (T/a The Perth Mint)</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AUSTRALIA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CID002778</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WIELAND Edelmetalle GmbH</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GERMANY</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CID002100</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Yamakin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CID002129   Yokohama Metal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CID000197   Yunnan Copper Industry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Gold</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CID002224   Zhongyuan Gold Smelter of Zhongjin Gold Corporation</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CID001076</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AMG Brasil</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BRAZIL</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CID000211   Changsha South Tantalum Niobium Co.,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CID002504   D Block Metals, LLC</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UNITED STATES OF AMERICA</w:t>
            </w:r>
          </w:p>
        </w:tc>
      </w:tr>
      <w:tr>
        <w:trPr>
          <w:trHeight w:val="230"/>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CID000460</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F&amp;X Electro-Materials Ltd.</w:t>
            </w:r>
          </w:p>
        </w:tc>
        <w:tc>
          <w:tcPr>
            <w:tcW w:w="2980" w:type="dxa"/>
            <w:vAlign w:val="bottom"/>
            <w:gridSpan w:val="2"/>
          </w:tcPr>
          <w:p>
            <w:pPr>
              <w:ind w:left="240"/>
              <w:spacing w:after="0"/>
              <w:rPr>
                <w:sz w:val="20"/>
                <w:szCs w:val="20"/>
                <w:color w:val="auto"/>
              </w:rPr>
            </w:pPr>
            <w:r>
              <w:rPr>
                <w:rFonts w:ascii="Arial" w:cs="Arial" w:eastAsia="Arial" w:hAnsi="Arial"/>
                <w:sz w:val="18"/>
                <w:szCs w:val="18"/>
                <w:color w:val="auto"/>
              </w:rPr>
              <w:t>CHINA</w:t>
            </w:r>
          </w:p>
        </w:tc>
      </w:tr>
      <w:tr>
        <w:trPr>
          <w:trHeight w:val="365"/>
        </w:trPr>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500" w:type="dxa"/>
            <w:vAlign w:val="bottom"/>
            <w:gridSpan w:val="3"/>
          </w:tcPr>
          <w:p>
            <w:pPr>
              <w:ind w:left="3580"/>
              <w:spacing w:after="0"/>
              <w:rPr>
                <w:sz w:val="20"/>
                <w:szCs w:val="20"/>
                <w:color w:val="auto"/>
              </w:rPr>
            </w:pPr>
            <w:r>
              <w:rPr>
                <w:rFonts w:ascii="Arial" w:cs="Arial" w:eastAsia="Arial" w:hAnsi="Arial"/>
                <w:sz w:val="18"/>
                <w:szCs w:val="18"/>
                <w:color w:val="auto"/>
              </w:rPr>
              <w:t>8</w:t>
            </w:r>
          </w:p>
        </w:tc>
        <w:tc>
          <w:tcPr>
            <w:tcW w:w="1880" w:type="dxa"/>
            <w:vAlign w:val="bottom"/>
          </w:tcPr>
          <w:p>
            <w:pPr>
              <w:spacing w:after="0"/>
              <w:rPr>
                <w:sz w:val="24"/>
                <w:szCs w:val="24"/>
                <w:color w:val="auto"/>
              </w:rPr>
            </w:pPr>
          </w:p>
        </w:tc>
        <w:tc>
          <w:tcPr>
            <w:tcW w:w="1100" w:type="dxa"/>
            <w:vAlign w:val="bottom"/>
          </w:tcPr>
          <w:p>
            <w:pPr>
              <w:spacing w:after="0"/>
              <w:rPr>
                <w:sz w:val="24"/>
                <w:szCs w:val="24"/>
                <w:color w:val="auto"/>
              </w:rPr>
            </w:pPr>
          </w:p>
        </w:tc>
      </w:tr>
    </w:tbl>
    <w:p>
      <w:pPr>
        <w:sectPr>
          <w:pgSz w:w="11900" w:h="16838" w:orient="portrait"/>
          <w:cols w:equalWidth="0" w:num="1">
            <w:col w:w="10019"/>
          </w:cols>
          <w:pgMar w:left="440" w:top="265" w:right="1440" w:bottom="1440" w:gutter="0" w:footer="0" w:header="0"/>
        </w:sectPr>
      </w:pPr>
    </w:p>
    <w:bookmarkStart w:id="11" w:name="page12"/>
    <w:bookmarkEnd w:id="11"/>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71"/>
        </w:trPr>
        <w:tc>
          <w:tcPr>
            <w:tcW w:w="200" w:type="dxa"/>
            <w:vAlign w:val="bottom"/>
          </w:tcPr>
          <w:p>
            <w:pPr>
              <w:spacing w:after="0"/>
              <w:rPr>
                <w:sz w:val="14"/>
                <w:szCs w:val="14"/>
                <w:color w:val="auto"/>
              </w:rPr>
            </w:pPr>
          </w:p>
        </w:tc>
        <w:tc>
          <w:tcPr>
            <w:tcW w:w="380" w:type="dxa"/>
            <w:vAlign w:val="bottom"/>
          </w:tcPr>
          <w:p>
            <w:pPr>
              <w:spacing w:after="0"/>
              <w:rPr>
                <w:sz w:val="20"/>
                <w:szCs w:val="20"/>
                <w:color w:val="auto"/>
              </w:rPr>
            </w:pPr>
            <w:r>
              <w:rPr>
                <w:rFonts w:ascii="Arial" w:cs="Arial" w:eastAsia="Arial" w:hAnsi="Arial"/>
                <w:sz w:val="14"/>
                <w:szCs w:val="14"/>
                <w:b w:val="1"/>
                <w:bCs w:val="1"/>
                <w:color w:val="auto"/>
              </w:rPr>
              <w:t>Metal</w:t>
            </w:r>
          </w:p>
        </w:tc>
        <w:tc>
          <w:tcPr>
            <w:tcW w:w="200" w:type="dxa"/>
            <w:vAlign w:val="bottom"/>
          </w:tcPr>
          <w:p>
            <w:pPr>
              <w:spacing w:after="0"/>
              <w:rPr>
                <w:sz w:val="14"/>
                <w:szCs w:val="14"/>
                <w:color w:val="auto"/>
              </w:rPr>
            </w:pPr>
          </w:p>
        </w:tc>
        <w:tc>
          <w:tcPr>
            <w:tcW w:w="1100" w:type="dxa"/>
            <w:vAlign w:val="bottom"/>
            <w:gridSpan w:val="3"/>
          </w:tcPr>
          <w:p>
            <w:pPr>
              <w:ind w:left="280"/>
              <w:spacing w:after="0"/>
              <w:rPr>
                <w:sz w:val="20"/>
                <w:szCs w:val="20"/>
                <w:color w:val="auto"/>
              </w:rPr>
            </w:pPr>
            <w:r>
              <w:rPr>
                <w:rFonts w:ascii="Arial" w:cs="Arial" w:eastAsia="Arial" w:hAnsi="Arial"/>
                <w:sz w:val="14"/>
                <w:szCs w:val="14"/>
                <w:b w:val="1"/>
                <w:bCs w:val="1"/>
                <w:color w:val="auto"/>
              </w:rPr>
              <w:t>Smelter ID</w:t>
            </w:r>
          </w:p>
        </w:tc>
        <w:tc>
          <w:tcPr>
            <w:tcW w:w="4500" w:type="dxa"/>
            <w:vAlign w:val="bottom"/>
            <w:gridSpan w:val="3"/>
          </w:tcPr>
          <w:p>
            <w:pPr>
              <w:ind w:left="1620"/>
              <w:spacing w:after="0"/>
              <w:rPr>
                <w:sz w:val="20"/>
                <w:szCs w:val="20"/>
                <w:color w:val="auto"/>
              </w:rPr>
            </w:pPr>
            <w:r>
              <w:rPr>
                <w:rFonts w:ascii="Arial" w:cs="Arial" w:eastAsia="Arial" w:hAnsi="Arial"/>
                <w:sz w:val="14"/>
                <w:szCs w:val="14"/>
                <w:b w:val="1"/>
                <w:bCs w:val="1"/>
                <w:color w:val="auto"/>
              </w:rPr>
              <w:t>Standard Smelter Name</w:t>
            </w:r>
          </w:p>
        </w:tc>
        <w:tc>
          <w:tcPr>
            <w:tcW w:w="1880" w:type="dxa"/>
            <w:vAlign w:val="bottom"/>
          </w:tcPr>
          <w:p>
            <w:pPr>
              <w:spacing w:after="0"/>
              <w:rPr>
                <w:sz w:val="14"/>
                <w:szCs w:val="14"/>
                <w:color w:val="auto"/>
              </w:rPr>
            </w:pPr>
          </w:p>
        </w:tc>
        <w:tc>
          <w:tcPr>
            <w:tcW w:w="1540" w:type="dxa"/>
            <w:vAlign w:val="bottom"/>
            <w:gridSpan w:val="2"/>
          </w:tcPr>
          <w:p>
            <w:pPr>
              <w:spacing w:after="0"/>
              <w:rPr>
                <w:sz w:val="20"/>
                <w:szCs w:val="20"/>
                <w:color w:val="auto"/>
              </w:rPr>
            </w:pPr>
            <w:r>
              <w:rPr>
                <w:rFonts w:ascii="Arial" w:cs="Arial" w:eastAsia="Arial" w:hAnsi="Arial"/>
                <w:sz w:val="14"/>
                <w:szCs w:val="14"/>
                <w:b w:val="1"/>
                <w:bCs w:val="1"/>
                <w:color w:val="auto"/>
              </w:rPr>
              <w:t>Country Location</w:t>
            </w:r>
          </w:p>
        </w:tc>
      </w:tr>
      <w:tr>
        <w:trPr>
          <w:trHeight w:val="20"/>
        </w:trPr>
        <w:tc>
          <w:tcPr>
            <w:tcW w:w="20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r>
      <w:tr>
        <w:trPr>
          <w:trHeight w:val="195"/>
        </w:trPr>
        <w:tc>
          <w:tcPr>
            <w:tcW w:w="580" w:type="dxa"/>
            <w:vAlign w:val="bottom"/>
            <w:gridSpan w:val="2"/>
          </w:tcPr>
          <w:p>
            <w:pPr>
              <w:spacing w:after="0" w:line="195" w:lineRule="exact"/>
              <w:rPr>
                <w:sz w:val="20"/>
                <w:szCs w:val="20"/>
                <w:color w:val="auto"/>
              </w:rPr>
            </w:pPr>
            <w:r>
              <w:rPr>
                <w:rFonts w:ascii="Arial" w:cs="Arial" w:eastAsia="Arial" w:hAnsi="Arial"/>
                <w:sz w:val="18"/>
                <w:szCs w:val="18"/>
                <w:color w:val="auto"/>
                <w:w w:val="74"/>
              </w:rPr>
              <w:t>Tantalum</w:t>
            </w:r>
          </w:p>
        </w:tc>
        <w:tc>
          <w:tcPr>
            <w:tcW w:w="200" w:type="dxa"/>
            <w:vAlign w:val="bottom"/>
          </w:tcPr>
          <w:p>
            <w:pPr>
              <w:spacing w:after="0"/>
              <w:rPr>
                <w:sz w:val="16"/>
                <w:szCs w:val="16"/>
                <w:color w:val="auto"/>
              </w:rPr>
            </w:pPr>
          </w:p>
        </w:tc>
        <w:tc>
          <w:tcPr>
            <w:tcW w:w="5600" w:type="dxa"/>
            <w:vAlign w:val="bottom"/>
            <w:gridSpan w:val="6"/>
          </w:tcPr>
          <w:p>
            <w:pPr>
              <w:ind w:left="120"/>
              <w:spacing w:after="0" w:line="195" w:lineRule="exact"/>
              <w:rPr>
                <w:sz w:val="20"/>
                <w:szCs w:val="20"/>
                <w:color w:val="auto"/>
              </w:rPr>
            </w:pPr>
            <w:r>
              <w:rPr>
                <w:rFonts w:ascii="Arial" w:cs="Arial" w:eastAsia="Arial" w:hAnsi="Arial"/>
                <w:sz w:val="18"/>
                <w:szCs w:val="18"/>
                <w:color w:val="auto"/>
              </w:rPr>
              <w:t>CID002505   FIR Metals &amp; Resource Ltd.</w:t>
            </w:r>
          </w:p>
        </w:tc>
        <w:tc>
          <w:tcPr>
            <w:tcW w:w="3420" w:type="dxa"/>
            <w:vAlign w:val="bottom"/>
            <w:gridSpan w:val="3"/>
          </w:tcPr>
          <w:p>
            <w:pPr>
              <w:ind w:left="240"/>
              <w:spacing w:after="0" w:line="195" w:lineRule="exact"/>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CID002558   Global Advanced Metals Aizu</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CID002557   Global Advanced Metals Boyertown</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CID002547   H.C. Starck Hermsdorf GmbH</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GERMANY</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CID002492   Hengyang King Xing Lifeng New Materials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CID002512   Jiangxi Dinghai Tantalum &amp; Niobium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CID002842   Jiangxi Tuohong New Raw Material</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CID000914   JiuJiang JinXin Nonferrous Metals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CID000917   Jiujiang Tanbre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CID002506   Jiujiang Zhongao Tantalum &amp; Niobium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CID002539</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KEMET de Mexico</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MEXICO</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CID002548</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Materion Newton Inc.</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CID001163   Metallurgical Products India Pvt.,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INDIA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CID001175</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Mineracao Taboca S.A.</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BRAZIL</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CID001192   Mitsui Mining and Smelting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CID001277   Ningxia Orient Tantalum Industry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CID001200</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NPM Silmet AS</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ESTONIA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CID001508</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QuantumClean</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CID002707   Resind Industria e Comercio Ltda.</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BRAZIL</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w w:val="97"/>
              </w:rPr>
              <w:t>CID003583   RFH Yancheng Jinye New Material Technology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CID001769   Solikamsk Magnesium Works OAO</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CID001869   Taki Chemical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CID002544</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TANIOBIS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THAILAND</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CID002545</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TANIOBIS GmbH</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GERMANY</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CID002549   TANIOBIS Japan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CID002550   TANIOBIS Smelting GmbH &amp; Co. KG</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GERMANY</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CID001891</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Telex Metals</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CID001969   Ulba Metallurgical Plant JSC</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KAZAKHSTAN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CID000616   XIMEI RESOURCES (GUANGDONG) LIMITED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CID002508   XinXing HaoRong Electronic Material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Tantalum</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CID001522   Yanling Jincheng Tantalum &amp; Niobium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CID000292</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Alpha</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CID002703   An Vinh Joint Stock Mineral Processing Company</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VIET NAM</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CID000228   Chenzhou Yunxiang Mining and Metallurgy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CID003190   Chifeng Dajingzi Tin Industry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CID001070   China Tin Group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w w:val="97"/>
              </w:rPr>
              <w:t>CID003486   CRM Fundicao De Metais E Comercio De Equipamentos</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BRAZIL</w:t>
            </w:r>
          </w:p>
        </w:tc>
      </w:tr>
      <w:tr>
        <w:trPr>
          <w:trHeight w:val="216"/>
        </w:trPr>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Eletronicos Do Brasil Ltda</w:t>
            </w:r>
          </w:p>
        </w:tc>
        <w:tc>
          <w:tcPr>
            <w:tcW w:w="18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440" w:type="dxa"/>
            <w:vAlign w:val="bottom"/>
          </w:tcPr>
          <w:p>
            <w:pPr>
              <w:spacing w:after="0"/>
              <w:rPr>
                <w:sz w:val="18"/>
                <w:szCs w:val="18"/>
                <w:color w:val="auto"/>
              </w:rPr>
            </w:pP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CID003524</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CRM Synergies</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SPAIN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CID002455   CV Venus Inti Perkasa</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INDONESIA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w w:val="98"/>
              </w:rPr>
              <w:t>CID003356   Dongguan CiEXPO Environmental Engineering Co., Ltd.</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CID000402</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Dowa</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CID002572   Electro-Mechanical Facility of the Cao Bang Minerals &amp;</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VIET NAM</w:t>
            </w:r>
          </w:p>
        </w:tc>
      </w:tr>
      <w:tr>
        <w:trPr>
          <w:trHeight w:val="216"/>
        </w:trPr>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Metallurgy Joint Stock Company</w:t>
            </w:r>
          </w:p>
        </w:tc>
        <w:tc>
          <w:tcPr>
            <w:tcW w:w="18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440" w:type="dxa"/>
            <w:vAlign w:val="bottom"/>
          </w:tcPr>
          <w:p>
            <w:pPr>
              <w:spacing w:after="0"/>
              <w:rPr>
                <w:sz w:val="18"/>
                <w:szCs w:val="18"/>
                <w:color w:val="auto"/>
              </w:rPr>
            </w:pP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CID000438</w:t>
            </w:r>
          </w:p>
        </w:tc>
        <w:tc>
          <w:tcPr>
            <w:tcW w:w="4500" w:type="dxa"/>
            <w:vAlign w:val="bottom"/>
            <w:gridSpan w:val="3"/>
          </w:tcPr>
          <w:p>
            <w:pPr>
              <w:ind w:left="120"/>
              <w:spacing w:after="0"/>
              <w:rPr>
                <w:sz w:val="20"/>
                <w:szCs w:val="20"/>
                <w:color w:val="auto"/>
              </w:rPr>
            </w:pPr>
            <w:r>
              <w:rPr>
                <w:rFonts w:ascii="Arial" w:cs="Arial" w:eastAsia="Arial" w:hAnsi="Arial"/>
                <w:sz w:val="18"/>
                <w:szCs w:val="18"/>
                <w:color w:val="auto"/>
              </w:rPr>
              <w:t>EM Vinto</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w w:val="97"/>
              </w:rPr>
              <w:t>BOLIVIA (PLURINATIONAL STATE OF)</w:t>
            </w:r>
          </w:p>
        </w:tc>
      </w:tr>
      <w:tr>
        <w:trPr>
          <w:trHeight w:val="230"/>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00" w:type="dxa"/>
            <w:vAlign w:val="bottom"/>
            <w:gridSpan w:val="6"/>
          </w:tcPr>
          <w:p>
            <w:pPr>
              <w:ind w:left="120"/>
              <w:spacing w:after="0"/>
              <w:rPr>
                <w:sz w:val="20"/>
                <w:szCs w:val="20"/>
                <w:color w:val="auto"/>
              </w:rPr>
            </w:pPr>
            <w:r>
              <w:rPr>
                <w:rFonts w:ascii="Arial" w:cs="Arial" w:eastAsia="Arial" w:hAnsi="Arial"/>
                <w:sz w:val="18"/>
                <w:szCs w:val="18"/>
                <w:color w:val="auto"/>
              </w:rPr>
              <w:t>CID000448   Estanho de Rondonia S.A.</w:t>
            </w:r>
          </w:p>
        </w:tc>
        <w:tc>
          <w:tcPr>
            <w:tcW w:w="3420" w:type="dxa"/>
            <w:vAlign w:val="bottom"/>
            <w:gridSpan w:val="3"/>
          </w:tcPr>
          <w:p>
            <w:pPr>
              <w:ind w:left="240"/>
              <w:spacing w:after="0"/>
              <w:rPr>
                <w:sz w:val="20"/>
                <w:szCs w:val="20"/>
                <w:color w:val="auto"/>
              </w:rPr>
            </w:pPr>
            <w:r>
              <w:rPr>
                <w:rFonts w:ascii="Arial" w:cs="Arial" w:eastAsia="Arial" w:hAnsi="Arial"/>
                <w:sz w:val="18"/>
                <w:szCs w:val="18"/>
                <w:color w:val="auto"/>
              </w:rPr>
              <w:t>BRAZIL</w:t>
            </w:r>
          </w:p>
        </w:tc>
      </w:tr>
      <w:tr>
        <w:trPr>
          <w:trHeight w:val="365"/>
        </w:trPr>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500" w:type="dxa"/>
            <w:vAlign w:val="bottom"/>
            <w:gridSpan w:val="3"/>
          </w:tcPr>
          <w:p>
            <w:pPr>
              <w:ind w:left="3580"/>
              <w:spacing w:after="0"/>
              <w:rPr>
                <w:sz w:val="20"/>
                <w:szCs w:val="20"/>
                <w:color w:val="auto"/>
              </w:rPr>
            </w:pPr>
            <w:r>
              <w:rPr>
                <w:rFonts w:ascii="Arial" w:cs="Arial" w:eastAsia="Arial" w:hAnsi="Arial"/>
                <w:sz w:val="18"/>
                <w:szCs w:val="18"/>
                <w:color w:val="auto"/>
              </w:rPr>
              <w:t>9</w:t>
            </w:r>
          </w:p>
        </w:tc>
        <w:tc>
          <w:tcPr>
            <w:tcW w:w="18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440" w:type="dxa"/>
            <w:vAlign w:val="bottom"/>
          </w:tcPr>
          <w:p>
            <w:pPr>
              <w:spacing w:after="0"/>
              <w:rPr>
                <w:sz w:val="24"/>
                <w:szCs w:val="24"/>
                <w:color w:val="auto"/>
              </w:rPr>
            </w:pPr>
          </w:p>
        </w:tc>
      </w:tr>
    </w:tbl>
    <w:p>
      <w:pPr>
        <w:sectPr>
          <w:pgSz w:w="11900" w:h="16838" w:orient="portrait"/>
          <w:cols w:equalWidth="0" w:num="1">
            <w:col w:w="10019"/>
          </w:cols>
          <w:pgMar w:left="440" w:top="265" w:right="1440" w:bottom="1440" w:gutter="0" w:footer="0" w:header="0"/>
        </w:sectPr>
      </w:pPr>
    </w:p>
    <w:bookmarkStart w:id="12" w:name="page13"/>
    <w:bookmarkEnd w:id="12"/>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71"/>
        </w:trPr>
        <w:tc>
          <w:tcPr>
            <w:tcW w:w="200" w:type="dxa"/>
            <w:vAlign w:val="bottom"/>
            <w:vMerge w:val="restart"/>
          </w:tcPr>
          <w:p>
            <w:pPr>
              <w:spacing w:after="0"/>
              <w:rPr>
                <w:sz w:val="20"/>
                <w:szCs w:val="20"/>
                <w:color w:val="auto"/>
              </w:rPr>
            </w:pPr>
            <w:r>
              <w:rPr>
                <w:rFonts w:ascii="Arial" w:cs="Arial" w:eastAsia="Arial" w:hAnsi="Arial"/>
                <w:sz w:val="18"/>
                <w:szCs w:val="18"/>
                <w:color w:val="auto"/>
                <w:w w:val="71"/>
              </w:rPr>
              <w:t>Tin</w:t>
            </w:r>
          </w:p>
        </w:tc>
        <w:tc>
          <w:tcPr>
            <w:tcW w:w="380" w:type="dxa"/>
            <w:vAlign w:val="bottom"/>
          </w:tcPr>
          <w:p>
            <w:pPr>
              <w:spacing w:after="0"/>
              <w:rPr>
                <w:sz w:val="20"/>
                <w:szCs w:val="20"/>
                <w:color w:val="auto"/>
              </w:rPr>
            </w:pPr>
            <w:r>
              <w:rPr>
                <w:rFonts w:ascii="Arial" w:cs="Arial" w:eastAsia="Arial" w:hAnsi="Arial"/>
                <w:sz w:val="14"/>
                <w:szCs w:val="14"/>
                <w:b w:val="1"/>
                <w:bCs w:val="1"/>
                <w:color w:val="auto"/>
              </w:rPr>
              <w:t>Metal</w:t>
            </w:r>
          </w:p>
        </w:tc>
        <w:tc>
          <w:tcPr>
            <w:tcW w:w="1300" w:type="dxa"/>
            <w:vAlign w:val="bottom"/>
            <w:gridSpan w:val="3"/>
          </w:tcPr>
          <w:p>
            <w:pPr>
              <w:ind w:left="480"/>
              <w:spacing w:after="0"/>
              <w:rPr>
                <w:sz w:val="20"/>
                <w:szCs w:val="20"/>
                <w:color w:val="auto"/>
              </w:rPr>
            </w:pPr>
            <w:r>
              <w:rPr>
                <w:rFonts w:ascii="Arial" w:cs="Arial" w:eastAsia="Arial" w:hAnsi="Arial"/>
                <w:sz w:val="14"/>
                <w:szCs w:val="14"/>
                <w:b w:val="1"/>
                <w:bCs w:val="1"/>
                <w:color w:val="auto"/>
              </w:rPr>
              <w:t>Smelter ID</w:t>
            </w:r>
          </w:p>
        </w:tc>
        <w:tc>
          <w:tcPr>
            <w:tcW w:w="4360" w:type="dxa"/>
            <w:vAlign w:val="bottom"/>
            <w:gridSpan w:val="3"/>
          </w:tcPr>
          <w:p>
            <w:pPr>
              <w:ind w:left="1620"/>
              <w:spacing w:after="0"/>
              <w:rPr>
                <w:sz w:val="20"/>
                <w:szCs w:val="20"/>
                <w:color w:val="auto"/>
              </w:rPr>
            </w:pPr>
            <w:r>
              <w:rPr>
                <w:rFonts w:ascii="Arial" w:cs="Arial" w:eastAsia="Arial" w:hAnsi="Arial"/>
                <w:sz w:val="14"/>
                <w:szCs w:val="14"/>
                <w:b w:val="1"/>
                <w:bCs w:val="1"/>
                <w:color w:val="auto"/>
              </w:rPr>
              <w:t>Standard Smelter Name</w:t>
            </w:r>
          </w:p>
        </w:tc>
        <w:tc>
          <w:tcPr>
            <w:tcW w:w="2020" w:type="dxa"/>
            <w:vAlign w:val="bottom"/>
          </w:tcPr>
          <w:p>
            <w:pPr>
              <w:spacing w:after="0"/>
              <w:rPr>
                <w:sz w:val="14"/>
                <w:szCs w:val="14"/>
                <w:color w:val="auto"/>
              </w:rPr>
            </w:pPr>
          </w:p>
        </w:tc>
        <w:tc>
          <w:tcPr>
            <w:tcW w:w="1540" w:type="dxa"/>
            <w:vAlign w:val="bottom"/>
            <w:gridSpan w:val="2"/>
          </w:tcPr>
          <w:p>
            <w:pPr>
              <w:spacing w:after="0"/>
              <w:rPr>
                <w:sz w:val="20"/>
                <w:szCs w:val="20"/>
                <w:color w:val="auto"/>
              </w:rPr>
            </w:pPr>
            <w:r>
              <w:rPr>
                <w:rFonts w:ascii="Arial" w:cs="Arial" w:eastAsia="Arial" w:hAnsi="Arial"/>
                <w:sz w:val="14"/>
                <w:szCs w:val="14"/>
                <w:b w:val="1"/>
                <w:bCs w:val="1"/>
                <w:color w:val="auto"/>
              </w:rPr>
              <w:t>Country Location</w:t>
            </w:r>
          </w:p>
        </w:tc>
        <w:tc>
          <w:tcPr>
            <w:tcW w:w="0" w:type="dxa"/>
            <w:vAlign w:val="bottom"/>
          </w:tcPr>
          <w:p>
            <w:pPr>
              <w:spacing w:after="0"/>
              <w:rPr>
                <w:sz w:val="1"/>
                <w:szCs w:val="1"/>
                <w:color w:val="auto"/>
              </w:rPr>
            </w:pPr>
          </w:p>
        </w:tc>
      </w:tr>
      <w:tr>
        <w:trPr>
          <w:trHeight w:val="20"/>
        </w:trPr>
        <w:tc>
          <w:tcPr>
            <w:tcW w:w="200" w:type="dxa"/>
            <w:vAlign w:val="bottom"/>
            <w:vMerge w:val="continue"/>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80" w:type="dxa"/>
            <w:vAlign w:val="bottom"/>
            <w:vMerge w:val="restart"/>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200" w:type="dxa"/>
            <w:vAlign w:val="bottom"/>
            <w:vMerge w:val="continue"/>
          </w:tcPr>
          <w:p>
            <w:pPr>
              <w:spacing w:after="0"/>
              <w:rPr>
                <w:sz w:val="16"/>
                <w:szCs w:val="16"/>
                <w:color w:val="auto"/>
              </w:rPr>
            </w:pPr>
          </w:p>
        </w:tc>
        <w:tc>
          <w:tcPr>
            <w:tcW w:w="380" w:type="dxa"/>
            <w:vAlign w:val="bottom"/>
          </w:tcPr>
          <w:p>
            <w:pPr>
              <w:spacing w:after="0"/>
              <w:rPr>
                <w:sz w:val="16"/>
                <w:szCs w:val="16"/>
                <w:color w:val="auto"/>
              </w:rPr>
            </w:pPr>
          </w:p>
        </w:tc>
        <w:tc>
          <w:tcPr>
            <w:tcW w:w="480" w:type="dxa"/>
            <w:vAlign w:val="bottom"/>
            <w:vMerge w:val="continue"/>
          </w:tcPr>
          <w:p>
            <w:pPr>
              <w:spacing w:after="0"/>
              <w:rPr>
                <w:sz w:val="16"/>
                <w:szCs w:val="16"/>
                <w:color w:val="auto"/>
              </w:rPr>
            </w:pPr>
          </w:p>
        </w:tc>
        <w:tc>
          <w:tcPr>
            <w:tcW w:w="680" w:type="dxa"/>
            <w:vAlign w:val="bottom"/>
          </w:tcPr>
          <w:p>
            <w:pPr>
              <w:jc w:val="right"/>
              <w:spacing w:after="0" w:line="195" w:lineRule="exact"/>
              <w:rPr>
                <w:sz w:val="20"/>
                <w:szCs w:val="20"/>
                <w:color w:val="auto"/>
              </w:rPr>
            </w:pPr>
            <w:r>
              <w:rPr>
                <w:rFonts w:ascii="Arial" w:cs="Arial" w:eastAsia="Arial" w:hAnsi="Arial"/>
                <w:sz w:val="18"/>
                <w:szCs w:val="18"/>
                <w:color w:val="auto"/>
                <w:w w:val="72"/>
              </w:rPr>
              <w:t>CID003582</w:t>
            </w:r>
          </w:p>
        </w:tc>
        <w:tc>
          <w:tcPr>
            <w:tcW w:w="4500" w:type="dxa"/>
            <w:vAlign w:val="bottom"/>
            <w:gridSpan w:val="4"/>
          </w:tcPr>
          <w:p>
            <w:pPr>
              <w:ind w:left="260"/>
              <w:spacing w:after="0" w:line="195" w:lineRule="exact"/>
              <w:rPr>
                <w:sz w:val="20"/>
                <w:szCs w:val="20"/>
                <w:color w:val="auto"/>
              </w:rPr>
            </w:pPr>
            <w:r>
              <w:rPr>
                <w:rFonts w:ascii="Arial" w:cs="Arial" w:eastAsia="Arial" w:hAnsi="Arial"/>
                <w:sz w:val="18"/>
                <w:szCs w:val="18"/>
                <w:color w:val="auto"/>
              </w:rPr>
              <w:t>Fabrica Auricchio Industria e Comercio Ltda.</w:t>
            </w:r>
          </w:p>
        </w:tc>
        <w:tc>
          <w:tcPr>
            <w:tcW w:w="3560" w:type="dxa"/>
            <w:vAlign w:val="bottom"/>
            <w:gridSpan w:val="3"/>
          </w:tcPr>
          <w:p>
            <w:pPr>
              <w:ind w:left="380"/>
              <w:spacing w:after="0" w:line="195" w:lineRule="exact"/>
              <w:rPr>
                <w:sz w:val="20"/>
                <w:szCs w:val="20"/>
                <w:color w:val="auto"/>
              </w:rPr>
            </w:pPr>
            <w:r>
              <w:rPr>
                <w:rFonts w:ascii="Arial" w:cs="Arial" w:eastAsia="Arial" w:hAnsi="Arial"/>
                <w:sz w:val="18"/>
                <w:szCs w:val="18"/>
                <w:color w:val="auto"/>
              </w:rPr>
              <w:t>BRAZIL</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CID000468</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Fenix Metals</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POLAND</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CID003410   Gejiu City Fuxiang Industry and Trade Co., Ltd.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CHINA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CID000942   Gejiu Kai Meng Industry and Trade LLC</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CHINA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CID000538   Gejiu Non-Ferrous Metal Processing Co., Ltd.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CHINA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CID001908   Gejiu Yunxin Nonferrous Electrolysis Co., Ltd.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CHINA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CID000555   Gejiu Zili Mining And Metallurgy Co., Ltd.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CHINA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CID003116   Guangdong Hanhe Non-Ferrous Metal Co., Ltd.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CHINA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CID001231   Jiangxi New Nanshan Technology Ltd.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CHINA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CID003387</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Luna Smelter, Ltd.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RWANDA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CID003379   Ma’anshan Weitai Tin Co., Ltd.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CHINA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CID002468   Magnu’s Minerais Metais e Ligas Ltda.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BRAZIL</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CID001105   Malaysia Smelting Corporation (MSC)</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MALAYSIA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CID002500   Melt Metais e Ligas S.A.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BRAZIL</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50"/>
              <w:spacing w:after="0"/>
              <w:rPr>
                <w:sz w:val="20"/>
                <w:szCs w:val="20"/>
                <w:color w:val="auto"/>
              </w:rPr>
            </w:pPr>
            <w:r>
              <w:rPr>
                <w:rFonts w:ascii="Arial" w:cs="Arial" w:eastAsia="Arial" w:hAnsi="Arial"/>
                <w:sz w:val="18"/>
                <w:szCs w:val="18"/>
                <w:color w:val="auto"/>
              </w:rPr>
              <w:t>CID001142</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Metallic Resources, Inc.</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UNITED STATES OF AMERICA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CID002773</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Metallo Belgium N.V.</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BELGIUM</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CID002774</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Metallo Spain S.L.U.</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SPAIN</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50"/>
              <w:spacing w:after="0"/>
              <w:rPr>
                <w:sz w:val="20"/>
                <w:szCs w:val="20"/>
                <w:color w:val="auto"/>
              </w:rPr>
            </w:pPr>
            <w:r>
              <w:rPr>
                <w:rFonts w:ascii="Arial" w:cs="Arial" w:eastAsia="Arial" w:hAnsi="Arial"/>
                <w:sz w:val="18"/>
                <w:szCs w:val="18"/>
                <w:color w:val="auto"/>
              </w:rPr>
              <w:t>CID001173</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Mineracao Taboca S.A.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BRAZIL</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50"/>
              <w:spacing w:after="0"/>
              <w:rPr>
                <w:sz w:val="20"/>
                <w:szCs w:val="20"/>
                <w:color w:val="auto"/>
              </w:rPr>
            </w:pPr>
            <w:r>
              <w:rPr>
                <w:rFonts w:ascii="Arial" w:cs="Arial" w:eastAsia="Arial" w:hAnsi="Arial"/>
                <w:sz w:val="18"/>
                <w:szCs w:val="18"/>
                <w:color w:val="auto"/>
              </w:rPr>
              <w:t>CID001182</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Minsur</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PERU</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50"/>
              <w:spacing w:after="0"/>
              <w:rPr>
                <w:sz w:val="20"/>
                <w:szCs w:val="20"/>
                <w:color w:val="auto"/>
              </w:rPr>
            </w:pPr>
            <w:r>
              <w:rPr>
                <w:rFonts w:ascii="Arial" w:cs="Arial" w:eastAsia="Arial" w:hAnsi="Arial"/>
                <w:sz w:val="18"/>
                <w:szCs w:val="18"/>
                <w:color w:val="auto"/>
              </w:rPr>
              <w:t>CID001191</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Mitsubishi Materials Corporation</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JAPAN</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CID002858</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Modeltech Sdn Bhd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MALAYSIA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CID002573   Nghe Tinh Non-Ferrous Metals Joint Stock Company</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VIET NAM</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CID001305</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Novosibirsk Tin Combine</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RUSSIAN FEDERATION</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CID001314   O.M. Manufacturing (Thailand) Co., Ltd.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THAILAND</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CID002517   O.M. Manufacturing Philippines, Inc.</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PHILIPPINES</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CID001337</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Operaciones Metalurgicas S.A.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w w:val="97"/>
              </w:rPr>
              <w:t>BOLIVIA (PLURINATIONAL STATE OF)</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CID003208</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Pongpipat Company Limited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MYANMAR</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CID003409   Precious Minerals and Smelting Limited</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CID000309   PT Aries Kencana Sejahtera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CID001399   PT Artha Cipta Langgeng</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CID002503   PT ATD Makmur Mandiri Jaya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CID001402   PT Babel Inti Perkasa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CID001406   PT Babel Surya Alam Lestari</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CID003205</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PT Bangka Serumpun</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CID001421   PT Belitung Industri Sejahtera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CID001428</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PT Bukit Timah</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CID002696   PT Cipta Persada Mulia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CID002835   PT Menara Cipta Mulia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CID001453   PT Mitra Stania Prima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CID003449   PT Mitra Sukses Globalindo</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CID001457   PT Panca Mega Persada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CID001458   PT Prima Timah Utama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CID003381   PT Rajawali Rimba Perkasa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CID001460   PT Refined Bangka Tin</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1300" w:type="dxa"/>
            <w:vAlign w:val="bottom"/>
            <w:gridSpan w:val="3"/>
          </w:tcPr>
          <w:p>
            <w:pPr>
              <w:jc w:val="right"/>
              <w:ind w:right="30"/>
              <w:spacing w:after="0"/>
              <w:rPr>
                <w:sz w:val="20"/>
                <w:szCs w:val="20"/>
                <w:color w:val="auto"/>
              </w:rPr>
            </w:pPr>
            <w:r>
              <w:rPr>
                <w:rFonts w:ascii="Arial" w:cs="Arial" w:eastAsia="Arial" w:hAnsi="Arial"/>
                <w:sz w:val="18"/>
                <w:szCs w:val="18"/>
                <w:color w:val="auto"/>
              </w:rPr>
              <w:t>CID001463</w:t>
            </w:r>
          </w:p>
        </w:tc>
        <w:tc>
          <w:tcPr>
            <w:tcW w:w="4360" w:type="dxa"/>
            <w:vAlign w:val="bottom"/>
            <w:gridSpan w:val="3"/>
          </w:tcPr>
          <w:p>
            <w:pPr>
              <w:ind w:left="120"/>
              <w:spacing w:after="0"/>
              <w:rPr>
                <w:sz w:val="20"/>
                <w:szCs w:val="20"/>
                <w:color w:val="auto"/>
              </w:rPr>
            </w:pPr>
            <w:r>
              <w:rPr>
                <w:rFonts w:ascii="Arial" w:cs="Arial" w:eastAsia="Arial" w:hAnsi="Arial"/>
                <w:sz w:val="18"/>
                <w:szCs w:val="18"/>
                <w:color w:val="auto"/>
              </w:rPr>
              <w:t>PT Sariwiguna Binasentosa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CID001468   PT Stanindo Inti Perkasa</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230"/>
        </w:trPr>
        <w:tc>
          <w:tcPr>
            <w:tcW w:w="580" w:type="dxa"/>
            <w:vAlign w:val="bottom"/>
            <w:gridSpan w:val="2"/>
          </w:tcPr>
          <w:p>
            <w:pPr>
              <w:spacing w:after="0"/>
              <w:rPr>
                <w:sz w:val="20"/>
                <w:szCs w:val="20"/>
                <w:color w:val="auto"/>
              </w:rPr>
            </w:pPr>
            <w:r>
              <w:rPr>
                <w:rFonts w:ascii="Arial" w:cs="Arial" w:eastAsia="Arial" w:hAnsi="Arial"/>
                <w:sz w:val="18"/>
                <w:szCs w:val="18"/>
                <w:color w:val="auto"/>
              </w:rPr>
              <w:t>Tin</w:t>
            </w:r>
          </w:p>
        </w:tc>
        <w:tc>
          <w:tcPr>
            <w:tcW w:w="5660" w:type="dxa"/>
            <w:vAlign w:val="bottom"/>
            <w:gridSpan w:val="6"/>
          </w:tcPr>
          <w:p>
            <w:pPr>
              <w:ind w:left="320"/>
              <w:spacing w:after="0"/>
              <w:rPr>
                <w:sz w:val="20"/>
                <w:szCs w:val="20"/>
                <w:color w:val="auto"/>
              </w:rPr>
            </w:pPr>
            <w:r>
              <w:rPr>
                <w:rFonts w:ascii="Arial" w:cs="Arial" w:eastAsia="Arial" w:hAnsi="Arial"/>
                <w:sz w:val="18"/>
                <w:szCs w:val="18"/>
                <w:color w:val="auto"/>
              </w:rPr>
              <w:t>CID002816   PT Sukses Inti Makmur</w:t>
            </w:r>
          </w:p>
        </w:tc>
        <w:tc>
          <w:tcPr>
            <w:tcW w:w="3560" w:type="dxa"/>
            <w:vAlign w:val="bottom"/>
            <w:gridSpan w:val="3"/>
          </w:tcPr>
          <w:p>
            <w:pPr>
              <w:ind w:left="380"/>
              <w:spacing w:after="0"/>
              <w:rPr>
                <w:sz w:val="20"/>
                <w:szCs w:val="20"/>
                <w:color w:val="auto"/>
              </w:rPr>
            </w:pPr>
            <w:r>
              <w:rPr>
                <w:rFonts w:ascii="Arial" w:cs="Arial" w:eastAsia="Arial" w:hAnsi="Arial"/>
                <w:sz w:val="18"/>
                <w:szCs w:val="18"/>
                <w:color w:val="auto"/>
              </w:rPr>
              <w:t>INDONESIA</w:t>
            </w:r>
          </w:p>
        </w:tc>
        <w:tc>
          <w:tcPr>
            <w:tcW w:w="0" w:type="dxa"/>
            <w:vAlign w:val="bottom"/>
          </w:tcPr>
          <w:p>
            <w:pPr>
              <w:spacing w:after="0"/>
              <w:rPr>
                <w:sz w:val="1"/>
                <w:szCs w:val="1"/>
                <w:color w:val="auto"/>
              </w:rPr>
            </w:pPr>
          </w:p>
        </w:tc>
      </w:tr>
      <w:tr>
        <w:trPr>
          <w:trHeight w:val="365"/>
        </w:trPr>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360" w:type="dxa"/>
            <w:vAlign w:val="bottom"/>
            <w:gridSpan w:val="3"/>
          </w:tcPr>
          <w:p>
            <w:pPr>
              <w:ind w:left="3540"/>
              <w:spacing w:after="0"/>
              <w:rPr>
                <w:sz w:val="20"/>
                <w:szCs w:val="20"/>
                <w:color w:val="auto"/>
              </w:rPr>
            </w:pPr>
            <w:r>
              <w:rPr>
                <w:rFonts w:ascii="Arial" w:cs="Arial" w:eastAsia="Arial" w:hAnsi="Arial"/>
                <w:sz w:val="18"/>
                <w:szCs w:val="18"/>
                <w:color w:val="auto"/>
              </w:rPr>
              <w:t>10</w:t>
            </w:r>
          </w:p>
        </w:tc>
        <w:tc>
          <w:tcPr>
            <w:tcW w:w="20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019"/>
          </w:cols>
          <w:pgMar w:left="440" w:top="265" w:right="1440" w:bottom="1440" w:gutter="0" w:footer="0" w:header="0"/>
        </w:sectPr>
      </w:pPr>
    </w:p>
    <w:bookmarkStart w:id="13" w:name="page14"/>
    <w:bookmarkEnd w:id="13"/>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71"/>
        </w:trPr>
        <w:tc>
          <w:tcPr>
            <w:tcW w:w="200" w:type="dxa"/>
            <w:vAlign w:val="bottom"/>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4"/>
                <w:szCs w:val="14"/>
                <w:b w:val="1"/>
                <w:bCs w:val="1"/>
                <w:color w:val="auto"/>
              </w:rPr>
              <w:t>Metal</w:t>
            </w:r>
          </w:p>
        </w:tc>
        <w:tc>
          <w:tcPr>
            <w:tcW w:w="1100" w:type="dxa"/>
            <w:vAlign w:val="bottom"/>
            <w:gridSpan w:val="3"/>
          </w:tcPr>
          <w:p>
            <w:pPr>
              <w:ind w:left="280"/>
              <w:spacing w:after="0"/>
              <w:rPr>
                <w:sz w:val="20"/>
                <w:szCs w:val="20"/>
                <w:color w:val="auto"/>
              </w:rPr>
            </w:pPr>
            <w:r>
              <w:rPr>
                <w:rFonts w:ascii="Arial" w:cs="Arial" w:eastAsia="Arial" w:hAnsi="Arial"/>
                <w:sz w:val="14"/>
                <w:szCs w:val="14"/>
                <w:b w:val="1"/>
                <w:bCs w:val="1"/>
                <w:color w:val="auto"/>
              </w:rPr>
              <w:t>Smelter ID</w:t>
            </w:r>
          </w:p>
        </w:tc>
        <w:tc>
          <w:tcPr>
            <w:tcW w:w="4580" w:type="dxa"/>
            <w:vAlign w:val="bottom"/>
            <w:gridSpan w:val="3"/>
          </w:tcPr>
          <w:p>
            <w:pPr>
              <w:ind w:left="1620"/>
              <w:spacing w:after="0"/>
              <w:rPr>
                <w:sz w:val="20"/>
                <w:szCs w:val="20"/>
                <w:color w:val="auto"/>
              </w:rPr>
            </w:pPr>
            <w:r>
              <w:rPr>
                <w:rFonts w:ascii="Arial" w:cs="Arial" w:eastAsia="Arial" w:hAnsi="Arial"/>
                <w:sz w:val="14"/>
                <w:szCs w:val="14"/>
                <w:b w:val="1"/>
                <w:bCs w:val="1"/>
                <w:color w:val="auto"/>
              </w:rPr>
              <w:t>Standard Smelter Name</w:t>
            </w:r>
          </w:p>
        </w:tc>
        <w:tc>
          <w:tcPr>
            <w:tcW w:w="1800" w:type="dxa"/>
            <w:vAlign w:val="bottom"/>
          </w:tcPr>
          <w:p>
            <w:pPr>
              <w:spacing w:after="0"/>
              <w:rPr>
                <w:sz w:val="14"/>
                <w:szCs w:val="14"/>
                <w:color w:val="auto"/>
              </w:rPr>
            </w:pPr>
          </w:p>
        </w:tc>
        <w:tc>
          <w:tcPr>
            <w:tcW w:w="1100" w:type="dxa"/>
            <w:vAlign w:val="bottom"/>
          </w:tcPr>
          <w:p>
            <w:pPr>
              <w:spacing w:after="0"/>
              <w:rPr>
                <w:sz w:val="20"/>
                <w:szCs w:val="20"/>
                <w:color w:val="auto"/>
              </w:rPr>
            </w:pPr>
            <w:r>
              <w:rPr>
                <w:rFonts w:ascii="Arial" w:cs="Arial" w:eastAsia="Arial" w:hAnsi="Arial"/>
                <w:sz w:val="14"/>
                <w:szCs w:val="14"/>
                <w:b w:val="1"/>
                <w:bCs w:val="1"/>
                <w:color w:val="auto"/>
                <w:w w:val="93"/>
              </w:rPr>
              <w:t>Country Location</w:t>
            </w:r>
          </w:p>
        </w:tc>
      </w:tr>
      <w:tr>
        <w:trPr>
          <w:trHeight w:val="195"/>
        </w:trPr>
        <w:tc>
          <w:tcPr>
            <w:tcW w:w="200" w:type="dxa"/>
            <w:vAlign w:val="bottom"/>
          </w:tcPr>
          <w:p>
            <w:pPr>
              <w:spacing w:after="0" w:line="195" w:lineRule="exact"/>
              <w:rPr>
                <w:sz w:val="20"/>
                <w:szCs w:val="20"/>
                <w:color w:val="auto"/>
              </w:rPr>
            </w:pPr>
            <w:r>
              <w:rPr>
                <w:rFonts w:ascii="Arial" w:cs="Arial" w:eastAsia="Arial" w:hAnsi="Arial"/>
                <w:sz w:val="18"/>
                <w:szCs w:val="18"/>
                <w:color w:val="auto"/>
                <w:w w:val="71"/>
              </w:rPr>
              <w:t>Tin</w:t>
            </w:r>
          </w:p>
        </w:tc>
        <w:tc>
          <w:tcPr>
            <w:tcW w:w="380" w:type="dxa"/>
            <w:vAlign w:val="bottom"/>
            <w:tcBorders>
              <w:top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72"/>
              </w:rPr>
              <w:t>CID001486</w:t>
            </w:r>
          </w:p>
        </w:tc>
        <w:tc>
          <w:tcPr>
            <w:tcW w:w="140" w:type="dxa"/>
            <w:vAlign w:val="bottom"/>
          </w:tcPr>
          <w:p>
            <w:pPr>
              <w:spacing w:after="0"/>
              <w:rPr>
                <w:sz w:val="16"/>
                <w:szCs w:val="16"/>
                <w:color w:val="auto"/>
              </w:rPr>
            </w:pPr>
          </w:p>
        </w:tc>
        <w:tc>
          <w:tcPr>
            <w:tcW w:w="1620" w:type="dxa"/>
            <w:vAlign w:val="bottom"/>
          </w:tcPr>
          <w:p>
            <w:pPr>
              <w:ind w:left="120"/>
              <w:spacing w:after="0" w:line="195" w:lineRule="exact"/>
              <w:rPr>
                <w:sz w:val="20"/>
                <w:szCs w:val="20"/>
                <w:color w:val="auto"/>
              </w:rPr>
            </w:pPr>
            <w:r>
              <w:rPr>
                <w:rFonts w:ascii="Arial" w:cs="Arial" w:eastAsia="Arial" w:hAnsi="Arial"/>
                <w:sz w:val="18"/>
                <w:szCs w:val="18"/>
                <w:color w:val="auto"/>
                <w:w w:val="89"/>
              </w:rPr>
              <w:t>PT Timah Nusantara</w:t>
            </w:r>
          </w:p>
        </w:tc>
        <w:tc>
          <w:tcPr>
            <w:tcW w:w="1500" w:type="dxa"/>
            <w:vAlign w:val="bottom"/>
            <w:tcBorders>
              <w:top w:val="single" w:sz="8" w:color="auto"/>
            </w:tcBorders>
          </w:tcPr>
          <w:p>
            <w:pPr>
              <w:spacing w:after="0"/>
              <w:rPr>
                <w:sz w:val="16"/>
                <w:szCs w:val="16"/>
                <w:color w:val="auto"/>
              </w:rPr>
            </w:pPr>
          </w:p>
        </w:tc>
        <w:tc>
          <w:tcPr>
            <w:tcW w:w="1460" w:type="dxa"/>
            <w:vAlign w:val="bottom"/>
          </w:tcPr>
          <w:p>
            <w:pPr>
              <w:spacing w:after="0"/>
              <w:rPr>
                <w:sz w:val="16"/>
                <w:szCs w:val="16"/>
                <w:color w:val="auto"/>
              </w:rPr>
            </w:pPr>
          </w:p>
        </w:tc>
        <w:tc>
          <w:tcPr>
            <w:tcW w:w="1800" w:type="dxa"/>
            <w:vAlign w:val="bottom"/>
          </w:tcPr>
          <w:p>
            <w:pPr>
              <w:ind w:left="160"/>
              <w:spacing w:after="0" w:line="195" w:lineRule="exact"/>
              <w:rPr>
                <w:sz w:val="20"/>
                <w:szCs w:val="20"/>
                <w:color w:val="auto"/>
              </w:rPr>
            </w:pPr>
            <w:r>
              <w:rPr>
                <w:rFonts w:ascii="Arial" w:cs="Arial" w:eastAsia="Arial" w:hAnsi="Arial"/>
                <w:sz w:val="18"/>
                <w:szCs w:val="18"/>
                <w:color w:val="auto"/>
              </w:rPr>
              <w:t>INDONESIA</w:t>
            </w:r>
          </w:p>
        </w:tc>
        <w:tc>
          <w:tcPr>
            <w:tcW w:w="1100" w:type="dxa"/>
            <w:vAlign w:val="bottom"/>
            <w:tcBorders>
              <w:top w:val="single" w:sz="8" w:color="auto"/>
            </w:tcBorders>
          </w:tcPr>
          <w:p>
            <w:pPr>
              <w:spacing w:after="0"/>
              <w:rPr>
                <w:sz w:val="16"/>
                <w:szCs w:val="16"/>
                <w:color w:val="auto"/>
              </w:rPr>
            </w:pP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CID001477   PT Timah Tbk Kundur</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INDONESIA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CID001482   PT Timah Tbk Mentok</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INDONESIA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CID001490   PT Tinindo Inter Nusa</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INDONESIA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CID002478   PT Tirus Putra Mandiri</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INDONESIA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CID001493</w:t>
            </w: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PT Tommy Utama</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INDONESIA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CID002706   Resind Industria e Comercio Ltda.</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BRAZIL</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CID001539</w:t>
            </w: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Rui Da Hung</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TAIWAN, PROVINCE OF 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CID001758</w:t>
            </w: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Soft Metais Ltda.</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BRAZIL</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CID002756</w:t>
            </w: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Super Ligas</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BRAZIL</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CID001898</w:t>
            </w: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Thaisarco</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THAILAND</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CID002180   Tin Smelting Branch of Yunnan Tin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CID003325   Tin Technology &amp; Refining</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w w:val="99"/>
              </w:rPr>
              <w:t>CID002574   Tuyen Quang Non-Ferrous Metals Joint Stock Company</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VIET NAM</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CID002015   VQB Mineral and Trading Group JSC</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VIET NAM</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CID002036   White Solder Metalurgia e Mineracao Ltda.</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BRAZIL</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CID002158   Yunnan Chengfeng Non-ferrous Metals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Tin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CID003397   Yunnan Yunfan Non-ferrous Metals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CID000004</w:t>
            </w: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A.L.M.T. Corp.</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CID002833</w:t>
            </w: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ACL Metais Eireli</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BRAZIL</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w w:val="95"/>
              </w:rPr>
              <w:t>CID003427   Albasteel Industria e Comercio de Ligas Para Fundicao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BRAZIL</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CID003553</w:t>
            </w: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Artek LLC</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CID002502   Asia Tungsten Products Vietnam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VIET NAM</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CID002641   China Molybdenum Tungsten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CID000258   Chongyi Zhangyuan Tungsten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CID000281   CNMC (Guangxi) PGMA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CID003468</w:t>
            </w: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Cronimet Brasil Ltda</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BRAZIL</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CID003401   Fujian Ganmin RareMetal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CID003609   Fujian Xinlu Tungsten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CID002645   Ganzhou Haichuang Tungsten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CID000875   Ganzhou Huaxing Tungsten Products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CID002315   Ganzhou Jiangwu Ferrotungsten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CID002494   Ganzhou Seadragon W &amp; Mo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CID000568   Global Tungsten &amp; Powders Corp.</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CID000218   Guangdong Xianglu Tungsten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CID002541   H.C. Starck Tungsten GmbH</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GERMANY</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CID003417   Hubei Green Tungsten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CID000766   Hunan Chenzhou Mining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CID000769   Hunan Chunchang Nonferrous Metals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w w:val="97"/>
              </w:rPr>
              <w:t>CID002513   Hunan Shizhuyuan Nonferrous Metals Co., Ltd. Chenzhou</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16"/>
        </w:trPr>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Tungsten Products Branch</w:t>
            </w:r>
          </w:p>
        </w:tc>
        <w:tc>
          <w:tcPr>
            <w:tcW w:w="180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CID002649</w:t>
            </w:r>
          </w:p>
        </w:tc>
        <w:tc>
          <w:tcPr>
            <w:tcW w:w="4580" w:type="dxa"/>
            <w:vAlign w:val="bottom"/>
            <w:gridSpan w:val="3"/>
          </w:tcPr>
          <w:p>
            <w:pPr>
              <w:ind w:left="120"/>
              <w:spacing w:after="0"/>
              <w:rPr>
                <w:sz w:val="20"/>
                <w:szCs w:val="20"/>
                <w:color w:val="auto"/>
              </w:rPr>
            </w:pPr>
            <w:r>
              <w:rPr>
                <w:rFonts w:ascii="Arial" w:cs="Arial" w:eastAsia="Arial" w:hAnsi="Arial"/>
                <w:sz w:val="18"/>
                <w:szCs w:val="18"/>
                <w:color w:val="auto"/>
              </w:rPr>
              <w:t>Hydrometallurg, JSC</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CID000825   Japan New Metals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JAPAN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CID002551   Jiangwu H.C. Starck Tungsten Products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230"/>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5680" w:type="dxa"/>
            <w:vAlign w:val="bottom"/>
            <w:gridSpan w:val="6"/>
          </w:tcPr>
          <w:p>
            <w:pPr>
              <w:ind w:left="120"/>
              <w:spacing w:after="0"/>
              <w:rPr>
                <w:sz w:val="20"/>
                <w:szCs w:val="20"/>
                <w:color w:val="auto"/>
              </w:rPr>
            </w:pPr>
            <w:r>
              <w:rPr>
                <w:rFonts w:ascii="Arial" w:cs="Arial" w:eastAsia="Arial" w:hAnsi="Arial"/>
                <w:sz w:val="18"/>
                <w:szCs w:val="18"/>
                <w:color w:val="auto"/>
              </w:rPr>
              <w:t>CID002321   Jiangxi Gan Bei Tungsten Co., Ltd.</w:t>
            </w:r>
          </w:p>
        </w:tc>
        <w:tc>
          <w:tcPr>
            <w:tcW w:w="2900" w:type="dxa"/>
            <w:vAlign w:val="bottom"/>
            <w:gridSpan w:val="2"/>
          </w:tcPr>
          <w:p>
            <w:pPr>
              <w:ind w:left="160"/>
              <w:spacing w:after="0"/>
              <w:rPr>
                <w:sz w:val="20"/>
                <w:szCs w:val="20"/>
                <w:color w:val="auto"/>
              </w:rPr>
            </w:pPr>
            <w:r>
              <w:rPr>
                <w:rFonts w:ascii="Arial" w:cs="Arial" w:eastAsia="Arial" w:hAnsi="Arial"/>
                <w:sz w:val="18"/>
                <w:szCs w:val="18"/>
                <w:color w:val="auto"/>
              </w:rPr>
              <w:t>CHINA</w:t>
            </w:r>
          </w:p>
        </w:tc>
      </w:tr>
      <w:tr>
        <w:trPr>
          <w:trHeight w:val="364"/>
        </w:trPr>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580" w:type="dxa"/>
            <w:vAlign w:val="bottom"/>
            <w:gridSpan w:val="3"/>
          </w:tcPr>
          <w:p>
            <w:pPr>
              <w:ind w:left="3540"/>
              <w:spacing w:after="0"/>
              <w:rPr>
                <w:sz w:val="20"/>
                <w:szCs w:val="20"/>
                <w:color w:val="auto"/>
              </w:rPr>
            </w:pPr>
            <w:r>
              <w:rPr>
                <w:rFonts w:ascii="Arial" w:cs="Arial" w:eastAsia="Arial" w:hAnsi="Arial"/>
                <w:sz w:val="18"/>
                <w:szCs w:val="18"/>
                <w:color w:val="auto"/>
              </w:rPr>
              <w:t>11</w:t>
            </w:r>
          </w:p>
        </w:tc>
        <w:tc>
          <w:tcPr>
            <w:tcW w:w="1800" w:type="dxa"/>
            <w:vAlign w:val="bottom"/>
          </w:tcPr>
          <w:p>
            <w:pPr>
              <w:spacing w:after="0"/>
              <w:rPr>
                <w:sz w:val="24"/>
                <w:szCs w:val="24"/>
                <w:color w:val="auto"/>
              </w:rPr>
            </w:pPr>
          </w:p>
        </w:tc>
        <w:tc>
          <w:tcPr>
            <w:tcW w:w="1100" w:type="dxa"/>
            <w:vAlign w:val="bottom"/>
          </w:tcPr>
          <w:p>
            <w:pPr>
              <w:spacing w:after="0"/>
              <w:rPr>
                <w:sz w:val="24"/>
                <w:szCs w:val="24"/>
                <w:color w:val="auto"/>
              </w:rPr>
            </w:pPr>
          </w:p>
        </w:tc>
      </w:tr>
    </w:tbl>
    <w:p>
      <w:pPr>
        <w:sectPr>
          <w:pgSz w:w="11900" w:h="16838" w:orient="portrait"/>
          <w:cols w:equalWidth="0" w:num="1">
            <w:col w:w="10019"/>
          </w:cols>
          <w:pgMar w:left="440" w:top="265" w:right="1440" w:bottom="1440" w:gutter="0" w:footer="0" w:header="0"/>
        </w:sectPr>
      </w:pPr>
    </w:p>
    <w:bookmarkStart w:id="14" w:name="page15"/>
    <w:bookmarkEnd w:id="14"/>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71"/>
        </w:trPr>
        <w:tc>
          <w:tcPr>
            <w:tcW w:w="200" w:type="dxa"/>
            <w:vAlign w:val="bottom"/>
          </w:tcPr>
          <w:p>
            <w:pPr>
              <w:spacing w:after="0"/>
              <w:rPr>
                <w:sz w:val="14"/>
                <w:szCs w:val="14"/>
                <w:color w:val="auto"/>
              </w:rPr>
            </w:pPr>
          </w:p>
        </w:tc>
        <w:tc>
          <w:tcPr>
            <w:tcW w:w="380" w:type="dxa"/>
            <w:vAlign w:val="bottom"/>
          </w:tcPr>
          <w:p>
            <w:pPr>
              <w:spacing w:after="0"/>
              <w:rPr>
                <w:sz w:val="20"/>
                <w:szCs w:val="20"/>
                <w:color w:val="auto"/>
              </w:rPr>
            </w:pPr>
            <w:r>
              <w:rPr>
                <w:rFonts w:ascii="Arial" w:cs="Arial" w:eastAsia="Arial" w:hAnsi="Arial"/>
                <w:sz w:val="14"/>
                <w:szCs w:val="14"/>
                <w:b w:val="1"/>
                <w:bCs w:val="1"/>
                <w:color w:val="auto"/>
              </w:rPr>
              <w:t>Metal</w:t>
            </w:r>
          </w:p>
        </w:tc>
        <w:tc>
          <w:tcPr>
            <w:tcW w:w="200" w:type="dxa"/>
            <w:vAlign w:val="bottom"/>
          </w:tcPr>
          <w:p>
            <w:pPr>
              <w:spacing w:after="0"/>
              <w:rPr>
                <w:sz w:val="14"/>
                <w:szCs w:val="14"/>
                <w:color w:val="auto"/>
              </w:rPr>
            </w:pPr>
          </w:p>
        </w:tc>
        <w:tc>
          <w:tcPr>
            <w:tcW w:w="1100" w:type="dxa"/>
            <w:vAlign w:val="bottom"/>
            <w:gridSpan w:val="3"/>
          </w:tcPr>
          <w:p>
            <w:pPr>
              <w:ind w:left="280"/>
              <w:spacing w:after="0"/>
              <w:rPr>
                <w:sz w:val="20"/>
                <w:szCs w:val="20"/>
                <w:color w:val="auto"/>
              </w:rPr>
            </w:pPr>
            <w:r>
              <w:rPr>
                <w:rFonts w:ascii="Arial" w:cs="Arial" w:eastAsia="Arial" w:hAnsi="Arial"/>
                <w:sz w:val="14"/>
                <w:szCs w:val="14"/>
                <w:b w:val="1"/>
                <w:bCs w:val="1"/>
                <w:color w:val="auto"/>
              </w:rPr>
              <w:t>Smelter ID</w:t>
            </w:r>
          </w:p>
        </w:tc>
        <w:tc>
          <w:tcPr>
            <w:tcW w:w="4640" w:type="dxa"/>
            <w:vAlign w:val="bottom"/>
            <w:gridSpan w:val="3"/>
          </w:tcPr>
          <w:p>
            <w:pPr>
              <w:ind w:left="1620"/>
              <w:spacing w:after="0"/>
              <w:rPr>
                <w:sz w:val="20"/>
                <w:szCs w:val="20"/>
                <w:color w:val="auto"/>
              </w:rPr>
            </w:pPr>
            <w:r>
              <w:rPr>
                <w:rFonts w:ascii="Arial" w:cs="Arial" w:eastAsia="Arial" w:hAnsi="Arial"/>
                <w:sz w:val="14"/>
                <w:szCs w:val="14"/>
                <w:b w:val="1"/>
                <w:bCs w:val="1"/>
                <w:color w:val="auto"/>
              </w:rPr>
              <w:t>Standard Smelter Name</w:t>
            </w:r>
          </w:p>
        </w:tc>
        <w:tc>
          <w:tcPr>
            <w:tcW w:w="1740" w:type="dxa"/>
            <w:vAlign w:val="bottom"/>
          </w:tcPr>
          <w:p>
            <w:pPr>
              <w:spacing w:after="0"/>
              <w:rPr>
                <w:sz w:val="14"/>
                <w:szCs w:val="14"/>
                <w:color w:val="auto"/>
              </w:rPr>
            </w:pPr>
          </w:p>
        </w:tc>
        <w:tc>
          <w:tcPr>
            <w:tcW w:w="1100" w:type="dxa"/>
            <w:vAlign w:val="bottom"/>
          </w:tcPr>
          <w:p>
            <w:pPr>
              <w:spacing w:after="0"/>
              <w:rPr>
                <w:sz w:val="20"/>
                <w:szCs w:val="20"/>
                <w:color w:val="auto"/>
              </w:rPr>
            </w:pPr>
            <w:r>
              <w:rPr>
                <w:rFonts w:ascii="Arial" w:cs="Arial" w:eastAsia="Arial" w:hAnsi="Arial"/>
                <w:sz w:val="14"/>
                <w:szCs w:val="14"/>
                <w:b w:val="1"/>
                <w:bCs w:val="1"/>
                <w:color w:val="auto"/>
                <w:w w:val="93"/>
              </w:rPr>
              <w:t>Country Location</w:t>
            </w:r>
          </w:p>
        </w:tc>
      </w:tr>
      <w:tr>
        <w:trPr>
          <w:trHeight w:val="20"/>
        </w:trPr>
        <w:tc>
          <w:tcPr>
            <w:tcW w:w="20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r>
      <w:tr>
        <w:trPr>
          <w:trHeight w:val="195"/>
        </w:trPr>
        <w:tc>
          <w:tcPr>
            <w:tcW w:w="580" w:type="dxa"/>
            <w:vAlign w:val="bottom"/>
            <w:gridSpan w:val="2"/>
          </w:tcPr>
          <w:p>
            <w:pPr>
              <w:spacing w:after="0" w:line="195" w:lineRule="exact"/>
              <w:rPr>
                <w:sz w:val="20"/>
                <w:szCs w:val="20"/>
                <w:color w:val="auto"/>
              </w:rPr>
            </w:pPr>
            <w:r>
              <w:rPr>
                <w:rFonts w:ascii="Arial" w:cs="Arial" w:eastAsia="Arial" w:hAnsi="Arial"/>
                <w:sz w:val="18"/>
                <w:szCs w:val="18"/>
                <w:color w:val="auto"/>
                <w:w w:val="74"/>
              </w:rPr>
              <w:t>Tungsten</w:t>
            </w:r>
          </w:p>
        </w:tc>
        <w:tc>
          <w:tcPr>
            <w:tcW w:w="200" w:type="dxa"/>
            <w:vAlign w:val="bottom"/>
          </w:tcPr>
          <w:p>
            <w:pPr>
              <w:spacing w:after="0"/>
              <w:rPr>
                <w:sz w:val="16"/>
                <w:szCs w:val="16"/>
                <w:color w:val="auto"/>
              </w:rPr>
            </w:pPr>
          </w:p>
        </w:tc>
        <w:tc>
          <w:tcPr>
            <w:tcW w:w="1100" w:type="dxa"/>
            <w:vAlign w:val="bottom"/>
            <w:gridSpan w:val="3"/>
          </w:tcPr>
          <w:p>
            <w:pPr>
              <w:ind w:left="120"/>
              <w:spacing w:after="0" w:line="195" w:lineRule="exact"/>
              <w:rPr>
                <w:sz w:val="20"/>
                <w:szCs w:val="20"/>
                <w:color w:val="auto"/>
              </w:rPr>
            </w:pPr>
            <w:r>
              <w:rPr>
                <w:rFonts w:ascii="Arial" w:cs="Arial" w:eastAsia="Arial" w:hAnsi="Arial"/>
                <w:sz w:val="18"/>
                <w:szCs w:val="18"/>
                <w:color w:val="auto"/>
              </w:rPr>
              <w:t>CID002313</w:t>
            </w:r>
          </w:p>
        </w:tc>
        <w:tc>
          <w:tcPr>
            <w:tcW w:w="4640" w:type="dxa"/>
            <w:vAlign w:val="bottom"/>
            <w:gridSpan w:val="3"/>
          </w:tcPr>
          <w:p>
            <w:pPr>
              <w:ind w:left="120"/>
              <w:spacing w:after="0" w:line="195" w:lineRule="exact"/>
              <w:rPr>
                <w:sz w:val="20"/>
                <w:szCs w:val="20"/>
                <w:color w:val="auto"/>
              </w:rPr>
            </w:pPr>
            <w:r>
              <w:rPr>
                <w:rFonts w:ascii="Arial" w:cs="Arial" w:eastAsia="Arial" w:hAnsi="Arial"/>
                <w:sz w:val="18"/>
                <w:szCs w:val="18"/>
                <w:color w:val="auto"/>
              </w:rPr>
              <w:t>Jiangxi Minmetals Gao’an Non-ferrous Metals Co., Ltd.</w:t>
            </w:r>
          </w:p>
        </w:tc>
        <w:tc>
          <w:tcPr>
            <w:tcW w:w="2840" w:type="dxa"/>
            <w:vAlign w:val="bottom"/>
            <w:gridSpan w:val="2"/>
          </w:tcPr>
          <w:p>
            <w:pPr>
              <w:ind w:left="100"/>
              <w:spacing w:after="0" w:line="195" w:lineRule="exact"/>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CID002318</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w w:val="97"/>
              </w:rPr>
              <w:t>Jiangxi Tonggu Non-ferrous Metallurgical &amp; Chemical Co.,</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Ltd.</w:t>
            </w:r>
          </w:p>
        </w:tc>
        <w:tc>
          <w:tcPr>
            <w:tcW w:w="174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CID002317</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Jiangxi Xinsheng Tungsten Industry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CID002316</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Jiangxi Yaosheng Tungsten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CID003408</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JSC “Kirovgrad Hard Alloys Plant”</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CID000966</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Kennametal Fallon</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CID000105</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Kennametal Huntsville</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CID003407</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Lianyou Metals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TAIWAN, PROVINCE OF 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CID003643</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LLC Vostok</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CID002319</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Malipo Haiyu Tungsten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CID002543</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Masan High-Tech Materials</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VIET NAM</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CID002845</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Moliren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CID002589</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Niagara Refining LLC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UNITED STATES OF AMERICA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CID003416</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NPP Tyazhmetprom LLC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CID003614</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OOO “Technolom” 1</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CID003612</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OOO “Technolom” 2</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CID002827</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Philippine Chuangxin Industrial Co., Inc.</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PHILIPPINES</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CID002542</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TANIOBIS Smelting GmbH &amp; Co. KG</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GERMANY</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CID002724</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Unecha Refractory metals plant</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RUSSIAN FEDERATION</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CID002044</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Wolfram Bergbau und Hutten AG</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AUSTRIA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CID002320</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Xiamen Tungsten (H.C.)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CID002082</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Xiamen Tungsten Co., Ltd.</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16"/>
        </w:trPr>
        <w:tc>
          <w:tcPr>
            <w:tcW w:w="780" w:type="dxa"/>
            <w:vAlign w:val="bottom"/>
            <w:gridSpan w:val="3"/>
          </w:tcPr>
          <w:p>
            <w:pPr>
              <w:spacing w:after="0"/>
              <w:rPr>
                <w:sz w:val="20"/>
                <w:szCs w:val="20"/>
                <w:color w:val="auto"/>
              </w:rPr>
            </w:pPr>
            <w:r>
              <w:rPr>
                <w:rFonts w:ascii="Arial" w:cs="Arial" w:eastAsia="Arial" w:hAnsi="Arial"/>
                <w:sz w:val="18"/>
                <w:szCs w:val="18"/>
                <w:color w:val="auto"/>
              </w:rPr>
              <w:t>Tungsten</w:t>
            </w:r>
          </w:p>
        </w:tc>
        <w:tc>
          <w:tcPr>
            <w:tcW w:w="1100" w:type="dxa"/>
            <w:vAlign w:val="bottom"/>
            <w:gridSpan w:val="3"/>
          </w:tcPr>
          <w:p>
            <w:pPr>
              <w:ind w:left="120"/>
              <w:spacing w:after="0"/>
              <w:rPr>
                <w:sz w:val="20"/>
                <w:szCs w:val="20"/>
                <w:color w:val="auto"/>
              </w:rPr>
            </w:pPr>
            <w:r>
              <w:rPr>
                <w:rFonts w:ascii="Arial" w:cs="Arial" w:eastAsia="Arial" w:hAnsi="Arial"/>
                <w:sz w:val="18"/>
                <w:szCs w:val="18"/>
                <w:color w:val="auto"/>
              </w:rPr>
              <w:t>CID002830</w:t>
            </w: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w w:val="95"/>
              </w:rPr>
              <w:t>Xinfeng Huarui Tungsten &amp; Molybdenum New Material Co.,</w:t>
            </w:r>
          </w:p>
        </w:tc>
        <w:tc>
          <w:tcPr>
            <w:tcW w:w="2840" w:type="dxa"/>
            <w:vAlign w:val="bottom"/>
            <w:gridSpan w:val="2"/>
          </w:tcPr>
          <w:p>
            <w:pPr>
              <w:ind w:left="100"/>
              <w:spacing w:after="0"/>
              <w:rPr>
                <w:sz w:val="20"/>
                <w:szCs w:val="20"/>
                <w:color w:val="auto"/>
              </w:rPr>
            </w:pPr>
            <w:r>
              <w:rPr>
                <w:rFonts w:ascii="Arial" w:cs="Arial" w:eastAsia="Arial" w:hAnsi="Arial"/>
                <w:sz w:val="18"/>
                <w:szCs w:val="18"/>
                <w:color w:val="auto"/>
              </w:rPr>
              <w:t>CHINA</w:t>
            </w:r>
          </w:p>
        </w:tc>
      </w:tr>
      <w:tr>
        <w:trPr>
          <w:trHeight w:val="230"/>
        </w:trPr>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640" w:type="dxa"/>
            <w:vAlign w:val="bottom"/>
            <w:gridSpan w:val="3"/>
          </w:tcPr>
          <w:p>
            <w:pPr>
              <w:ind w:left="120"/>
              <w:spacing w:after="0"/>
              <w:rPr>
                <w:sz w:val="20"/>
                <w:szCs w:val="20"/>
                <w:color w:val="auto"/>
              </w:rPr>
            </w:pPr>
            <w:r>
              <w:rPr>
                <w:rFonts w:ascii="Arial" w:cs="Arial" w:eastAsia="Arial" w:hAnsi="Arial"/>
                <w:sz w:val="18"/>
                <w:szCs w:val="18"/>
                <w:color w:val="auto"/>
              </w:rPr>
              <w:t>Ltd.</w:t>
            </w:r>
          </w:p>
        </w:tc>
        <w:tc>
          <w:tcPr>
            <w:tcW w:w="1740" w:type="dxa"/>
            <w:vAlign w:val="bottom"/>
          </w:tcPr>
          <w:p>
            <w:pPr>
              <w:spacing w:after="0"/>
              <w:rPr>
                <w:sz w:val="20"/>
                <w:szCs w:val="20"/>
                <w:color w:val="auto"/>
              </w:rPr>
            </w:pPr>
          </w:p>
        </w:tc>
        <w:tc>
          <w:tcPr>
            <w:tcW w:w="1100" w:type="dxa"/>
            <w:vAlign w:val="bottom"/>
          </w:tcPr>
          <w:p>
            <w:pPr>
              <w:spacing w:after="0"/>
              <w:rPr>
                <w:sz w:val="20"/>
                <w:szCs w:val="20"/>
                <w:color w:val="auto"/>
              </w:rPr>
            </w:pPr>
          </w:p>
        </w:tc>
      </w:tr>
      <w:tr>
        <w:trPr>
          <w:trHeight w:val="364"/>
        </w:trPr>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40" w:type="dxa"/>
            <w:vAlign w:val="bottom"/>
            <w:gridSpan w:val="3"/>
          </w:tcPr>
          <w:p>
            <w:pPr>
              <w:ind w:left="3540"/>
              <w:spacing w:after="0"/>
              <w:rPr>
                <w:sz w:val="20"/>
                <w:szCs w:val="20"/>
                <w:color w:val="auto"/>
              </w:rPr>
            </w:pPr>
            <w:r>
              <w:rPr>
                <w:rFonts w:ascii="Arial" w:cs="Arial" w:eastAsia="Arial" w:hAnsi="Arial"/>
                <w:sz w:val="18"/>
                <w:szCs w:val="18"/>
                <w:color w:val="auto"/>
              </w:rPr>
              <w:t>12</w:t>
            </w:r>
          </w:p>
        </w:tc>
        <w:tc>
          <w:tcPr>
            <w:tcW w:w="1740" w:type="dxa"/>
            <w:vAlign w:val="bottom"/>
          </w:tcPr>
          <w:p>
            <w:pPr>
              <w:spacing w:after="0"/>
              <w:rPr>
                <w:sz w:val="24"/>
                <w:szCs w:val="24"/>
                <w:color w:val="auto"/>
              </w:rPr>
            </w:pPr>
          </w:p>
        </w:tc>
        <w:tc>
          <w:tcPr>
            <w:tcW w:w="1100" w:type="dxa"/>
            <w:vAlign w:val="bottom"/>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0019"/>
      </w:cols>
      <w:pgMar w:left="440" w:top="26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1."/>
      <w:numFmt w:val="decimal"/>
      <w:start w:val="1"/>
    </w:lvl>
  </w:abstractNum>
  <w:abstractNum w:abstractNumId="3">
    <w:nsid w:val="2EB141F2"/>
    <w:multiLevelType w:val="hybridMultilevel"/>
    <w:lvl w:ilvl="0">
      <w:lvlJc w:val="left"/>
      <w:lvlText w:val="•"/>
      <w:numFmt w:val="bullet"/>
      <w:start w:val="1"/>
    </w:lvl>
  </w:abstractNum>
  <w:abstractNum w:abstractNumId="4">
    <w:nsid w:val="41B71EFB"/>
    <w:multiLevelType w:val="hybridMultilevel"/>
    <w:lvl w:ilvl="0">
      <w:lvlJc w:val="left"/>
      <w:lvlText w:val="%1."/>
      <w:numFmt w:val="decimal"/>
      <w:start w:val="2"/>
    </w:lvl>
    <w:lvl w:ilvl="1">
      <w:lvlJc w:val="left"/>
      <w:lvlText w:val="•"/>
      <w:numFmt w:val="bullet"/>
      <w:start w:val="1"/>
    </w:lvl>
  </w:abstractNum>
  <w:abstractNum w:abstractNumId="5">
    <w:nsid w:val="79E2A9E3"/>
    <w:multiLevelType w:val="hybridMultilevel"/>
    <w:lvl w:ilvl="0">
      <w:lvlJc w:val="left"/>
      <w:lvlText w:val="%1."/>
      <w:numFmt w:val="decimal"/>
      <w:start w:val="3"/>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1."/>
      <w:numFmt w:val="decimal"/>
      <w:start w:val="4"/>
    </w:lvl>
  </w:abstractNum>
  <w:abstractNum w:abstractNumId="8">
    <w:nsid w:val="5BD062C2"/>
    <w:multiLevelType w:val="hybridMultilevel"/>
    <w:lvl w:ilvl="0">
      <w:lvlJc w:val="left"/>
      <w:lvlText w:val="%1."/>
      <w:numFmt w:val="decimal"/>
      <w:start w:val="5"/>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2022-05-31T15:17:55Z</dcterms:created>
  <dcterms:modified xsi:type="dcterms:W3CDTF">2022-05-31T15:17:55Z</dcterms:modified>
</cp:coreProperties>
</file>