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208280</wp:posOffset>
            </wp:positionH>
            <wp:positionV relativeFrom="page">
              <wp:posOffset>182880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303530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7"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______________________</w:t>
      </w:r>
    </w:p>
    <w:p>
      <w:pPr>
        <w:spacing w:after="0" w:line="22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200" w:lineRule="exact"/>
        <w:rPr>
          <w:sz w:val="24"/>
          <w:szCs w:val="24"/>
          <w:color w:val="auto"/>
        </w:rPr>
      </w:pPr>
    </w:p>
    <w:p>
      <w:pPr>
        <w:spacing w:after="0" w:line="30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9" w:lineRule="exact"/>
        <w:rPr>
          <w:sz w:val="24"/>
          <w:szCs w:val="24"/>
          <w:color w:val="auto"/>
        </w:rPr>
      </w:pPr>
    </w:p>
    <w:p>
      <w:pPr>
        <w:ind w:left="4640"/>
        <w:spacing w:after="0"/>
        <w:rPr>
          <w:sz w:val="20"/>
          <w:szCs w:val="20"/>
          <w:color w:val="auto"/>
        </w:rPr>
      </w:pPr>
      <w:r>
        <w:rPr>
          <w:rFonts w:ascii="Arial" w:cs="Arial" w:eastAsia="Arial" w:hAnsi="Arial"/>
          <w:sz w:val="18"/>
          <w:szCs w:val="18"/>
          <w:b w:val="1"/>
          <w:bCs w:val="1"/>
          <w:color w:val="auto"/>
        </w:rPr>
        <w:t>______________________</w:t>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July 27, 2022</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FLOWSERVE CORPORATION</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593" w:right="339" w:bottom="1440" w:gutter="0" w:footer="0" w:header="0"/>
        </w:sectPr>
      </w:pPr>
    </w:p>
    <w:p>
      <w:pPr>
        <w:spacing w:after="0" w:line="232" w:lineRule="exact"/>
        <w:rPr>
          <w:sz w:val="24"/>
          <w:szCs w:val="24"/>
          <w:color w:val="auto"/>
        </w:rPr>
      </w:pPr>
    </w:p>
    <w:p>
      <w:pPr>
        <w:ind w:left="1500"/>
        <w:spacing w:after="0"/>
        <w:rPr>
          <w:sz w:val="20"/>
          <w:szCs w:val="20"/>
          <w:color w:val="auto"/>
        </w:rPr>
      </w:pPr>
      <w:r>
        <w:rPr>
          <w:rFonts w:ascii="Arial" w:cs="Arial" w:eastAsia="Arial" w:hAnsi="Arial"/>
          <w:sz w:val="18"/>
          <w:szCs w:val="18"/>
          <w:b w:val="1"/>
          <w:bCs w:val="1"/>
          <w:color w:val="auto"/>
        </w:rPr>
        <w:t>New York</w:t>
      </w:r>
    </w:p>
    <w:p>
      <w:pPr>
        <w:spacing w:after="0" w:line="27" w:lineRule="exact"/>
        <w:rPr>
          <w:sz w:val="24"/>
          <w:szCs w:val="24"/>
          <w:color w:val="auto"/>
        </w:rPr>
      </w:pPr>
    </w:p>
    <w:p>
      <w:pPr>
        <w:ind w:left="90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6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360"/>
        <w:spacing w:after="0"/>
        <w:rPr>
          <w:sz w:val="20"/>
          <w:szCs w:val="20"/>
          <w:color w:val="auto"/>
        </w:rPr>
      </w:pPr>
      <w:r>
        <w:rPr>
          <w:rFonts w:ascii="Arial" w:cs="Arial" w:eastAsia="Arial" w:hAnsi="Arial"/>
          <w:sz w:val="18"/>
          <w:szCs w:val="18"/>
          <w:b w:val="1"/>
          <w:bCs w:val="1"/>
          <w:color w:val="auto"/>
        </w:rPr>
        <w:t>001-13179</w:t>
      </w:r>
    </w:p>
    <w:p>
      <w:pPr>
        <w:spacing w:after="0" w:line="27" w:lineRule="exact"/>
        <w:rPr>
          <w:sz w:val="24"/>
          <w:szCs w:val="24"/>
          <w:color w:val="auto"/>
        </w:rPr>
      </w:pPr>
    </w:p>
    <w:p>
      <w:pPr>
        <w:jc w:val="center"/>
        <w:ind w:right="136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31-0267900</w:t>
      </w:r>
    </w:p>
    <w:p>
      <w:pPr>
        <w:spacing w:after="0" w:line="27" w:lineRule="exact"/>
        <w:rPr>
          <w:sz w:val="24"/>
          <w:szCs w:val="24"/>
          <w:color w:val="auto"/>
        </w:rPr>
      </w:pPr>
    </w:p>
    <w:p>
      <w:pPr>
        <w:jc w:val="center"/>
        <w:ind w:right="120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20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3900" w:space="720"/>
            <w:col w:w="3360" w:space="720"/>
            <w:col w:w="2540"/>
          </w:cols>
          <w:pgMar w:left="320" w:top="593" w:right="339" w:bottom="1440" w:gutter="0" w:footer="0" w:header="0"/>
          <w:type w:val="continuous"/>
        </w:sectPr>
      </w:pPr>
    </w:p>
    <w:p>
      <w:pPr>
        <w:spacing w:after="0" w:line="34" w:lineRule="exact"/>
        <w:rPr>
          <w:sz w:val="24"/>
          <w:szCs w:val="24"/>
          <w:color w:val="auto"/>
        </w:rPr>
      </w:pPr>
    </w:p>
    <w:p>
      <w:pPr>
        <w:ind w:left="940"/>
        <w:spacing w:after="0"/>
        <w:rPr>
          <w:sz w:val="20"/>
          <w:szCs w:val="20"/>
          <w:color w:val="auto"/>
        </w:rPr>
      </w:pPr>
      <w:r>
        <w:rPr>
          <w:rFonts w:ascii="Arial" w:cs="Arial" w:eastAsia="Arial" w:hAnsi="Arial"/>
          <w:sz w:val="16"/>
          <w:szCs w:val="16"/>
          <w:b w:val="1"/>
          <w:bCs w:val="1"/>
          <w:color w:val="auto"/>
        </w:rPr>
        <w:t>5215 N. O’Connor Blvd., Suite 700, Irving, Texas</w:t>
      </w:r>
    </w:p>
    <w:p>
      <w:pPr>
        <w:spacing w:after="0" w:line="50" w:lineRule="exact"/>
        <w:rPr>
          <w:sz w:val="24"/>
          <w:szCs w:val="24"/>
          <w:color w:val="auto"/>
        </w:rPr>
      </w:pPr>
    </w:p>
    <w:p>
      <w:pPr>
        <w:ind w:left="134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4" w:lineRule="exact"/>
        <w:rPr>
          <w:sz w:val="24"/>
          <w:szCs w:val="24"/>
          <w:color w:val="auto"/>
        </w:rPr>
      </w:pPr>
    </w:p>
    <w:p>
      <w:pPr>
        <w:jc w:val="center"/>
        <w:ind w:right="2420"/>
        <w:spacing w:after="0"/>
        <w:rPr>
          <w:sz w:val="20"/>
          <w:szCs w:val="20"/>
          <w:color w:val="auto"/>
        </w:rPr>
      </w:pPr>
      <w:r>
        <w:rPr>
          <w:rFonts w:ascii="Arial" w:cs="Arial" w:eastAsia="Arial" w:hAnsi="Arial"/>
          <w:sz w:val="18"/>
          <w:szCs w:val="18"/>
          <w:b w:val="1"/>
          <w:bCs w:val="1"/>
          <w:color w:val="auto"/>
        </w:rPr>
        <w:t>75039</w:t>
      </w:r>
    </w:p>
    <w:p>
      <w:pPr>
        <w:spacing w:after="0" w:line="27" w:lineRule="exact"/>
        <w:rPr>
          <w:sz w:val="24"/>
          <w:szCs w:val="24"/>
          <w:color w:val="auto"/>
        </w:rPr>
      </w:pPr>
    </w:p>
    <w:p>
      <w:pPr>
        <w:jc w:val="center"/>
        <w:ind w:right="2420"/>
        <w:spacing w:after="0"/>
        <w:rPr>
          <w:sz w:val="20"/>
          <w:szCs w:val="20"/>
          <w:color w:val="auto"/>
        </w:rPr>
      </w:pPr>
      <w:r>
        <w:rPr>
          <w:rFonts w:ascii="Arial" w:cs="Arial" w:eastAsia="Arial" w:hAnsi="Arial"/>
          <w:sz w:val="16"/>
          <w:szCs w:val="16"/>
          <w:color w:val="auto"/>
        </w:rPr>
        <w:t>(Zip Code)</w:t>
      </w:r>
    </w:p>
    <w:p>
      <w:pPr>
        <w:spacing w:after="0" w:line="222" w:lineRule="exact"/>
        <w:rPr>
          <w:sz w:val="24"/>
          <w:szCs w:val="24"/>
          <w:color w:val="auto"/>
        </w:rPr>
      </w:pPr>
    </w:p>
    <w:p>
      <w:pPr>
        <w:sectPr>
          <w:pgSz w:w="11900" w:h="16838" w:orient="portrait"/>
          <w:cols w:equalWidth="0" w:num="2">
            <w:col w:w="7320" w:space="720"/>
            <w:col w:w="3200"/>
          </w:cols>
          <w:pgMar w:left="320" w:top="593" w:right="339" w:bottom="1440" w:gutter="0" w:footer="0" w:header="0"/>
          <w:type w:val="continuous"/>
        </w:sectPr>
      </w:pP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(972) 443-6500</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46" w:lineRule="exact"/>
        <w:rPr>
          <w:sz w:val="24"/>
          <w:szCs w:val="24"/>
          <w:color w:val="auto"/>
        </w:rPr>
      </w:pPr>
    </w:p>
    <w:tbl>
      <w:tblPr>
        <w:tblLayout w:type="fixed"/>
        <w:tblInd w:w="10" w:type="dxa"/>
        <w:tblCellMar>
          <w:top w:w="0" w:type="dxa"/>
          <w:left w:w="0" w:type="dxa"/>
          <w:bottom w:w="0" w:type="dxa"/>
          <w:right w:w="0" w:type="dxa"/>
        </w:tblCellMar>
      </w:tblPr>
      <w:tr>
        <w:trPr>
          <w:trHeight w:val="250"/>
        </w:trPr>
        <w:tc>
          <w:tcPr>
            <w:tcW w:w="42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28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41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23"/>
        </w:trPr>
        <w:tc>
          <w:tcPr>
            <w:tcW w:w="42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 $1.25 Par Value</w:t>
            </w:r>
          </w:p>
        </w:tc>
        <w:tc>
          <w:tcPr>
            <w:tcW w:w="28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FLS</w:t>
            </w:r>
          </w:p>
        </w:tc>
        <w:tc>
          <w:tcPr>
            <w:tcW w:w="41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102"/>
        </w:trPr>
        <w:tc>
          <w:tcPr>
            <w:tcW w:w="4240" w:type="dxa"/>
            <w:vAlign w:val="bottom"/>
            <w:tcBorders>
              <w:bottom w:val="single" w:sz="8" w:color="auto"/>
            </w:tcBorders>
          </w:tcPr>
          <w:p>
            <w:pPr>
              <w:spacing w:after="0"/>
              <w:rPr>
                <w:sz w:val="8"/>
                <w:szCs w:val="8"/>
                <w:color w:val="auto"/>
              </w:rPr>
            </w:pPr>
          </w:p>
        </w:tc>
        <w:tc>
          <w:tcPr>
            <w:tcW w:w="2820" w:type="dxa"/>
            <w:vAlign w:val="bottom"/>
            <w:tcBorders>
              <w:bottom w:val="single" w:sz="8" w:color="auto"/>
            </w:tcBorders>
          </w:tcPr>
          <w:p>
            <w:pPr>
              <w:spacing w:after="0"/>
              <w:rPr>
                <w:sz w:val="8"/>
                <w:szCs w:val="8"/>
                <w:color w:val="auto"/>
              </w:rPr>
            </w:pPr>
          </w:p>
        </w:tc>
        <w:tc>
          <w:tcPr>
            <w:tcW w:w="4180" w:type="dxa"/>
            <w:vAlign w:val="bottom"/>
            <w:tcBorders>
              <w:bottom w:val="single" w:sz="8" w:color="auto"/>
            </w:tcBorders>
          </w:tcPr>
          <w:p>
            <w:pPr>
              <w:spacing w:after="0"/>
              <w:rPr>
                <w:sz w:val="8"/>
                <w:szCs w:val="8"/>
                <w:color w:val="auto"/>
              </w:rPr>
            </w:pPr>
          </w:p>
        </w:tc>
      </w:tr>
    </w:tbl>
    <w:p>
      <w:pPr>
        <w:spacing w:after="0" w:line="296" w:lineRule="exact"/>
        <w:rPr>
          <w:sz w:val="24"/>
          <w:szCs w:val="24"/>
          <w:color w:val="auto"/>
        </w:rPr>
      </w:pPr>
    </w:p>
    <w:p>
      <w:pPr>
        <w:ind w:right="680"/>
        <w:spacing w:after="0" w:line="25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2" w:lineRule="exact"/>
        <w:rPr>
          <w:sz w:val="24"/>
          <w:szCs w:val="24"/>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5"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36" w:lineRule="exact"/>
        <w:rPr>
          <w:sz w:val="24"/>
          <w:szCs w:val="24"/>
          <w:color w:val="auto"/>
        </w:rPr>
      </w:pPr>
    </w:p>
    <w:p>
      <w:pPr>
        <w:ind w:right="140"/>
        <w:spacing w:after="0" w:line="224"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(17 CFR §230.405) or Rule 12b-2 of the Securities Exchange Act of 1934 (17 CFR §240.12b-2). Emerging growth company </w:t>
      </w:r>
      <w:r>
        <w:rPr>
          <w:rFonts w:ascii="MS PGothic" w:cs="MS PGothic" w:eastAsia="MS PGothic" w:hAnsi="MS PGothic"/>
          <w:sz w:val="18"/>
          <w:szCs w:val="18"/>
          <w:color w:val="auto"/>
        </w:rPr>
        <w:t>☐</w:t>
      </w:r>
    </w:p>
    <w:p>
      <w:pPr>
        <w:spacing w:after="0" w:line="1" w:lineRule="exact"/>
        <w:rPr>
          <w:sz w:val="24"/>
          <w:szCs w:val="24"/>
          <w:color w:val="auto"/>
        </w:rPr>
      </w:pPr>
    </w:p>
    <w:p>
      <w:pPr>
        <w:ind w:right="160"/>
        <w:spacing w:after="0" w:line="226"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295910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93"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jc w:val="both"/>
        <w:ind w:right="20" w:firstLine="648"/>
        <w:spacing w:after="0" w:line="308" w:lineRule="auto"/>
        <w:rPr>
          <w:sz w:val="20"/>
          <w:szCs w:val="20"/>
          <w:color w:val="auto"/>
        </w:rPr>
      </w:pPr>
      <w:r>
        <w:rPr>
          <w:rFonts w:ascii="Arial" w:cs="Arial" w:eastAsia="Arial" w:hAnsi="Arial"/>
          <w:sz w:val="17"/>
          <w:szCs w:val="17"/>
          <w:color w:val="auto"/>
        </w:rPr>
        <w:t>On July 27, 2022, Flowserve Corporation, a New York corporation (the “Company”), issued a press release announcing financial results for its second quarter ended June 30, 2022. A copy of this press release is attached as Exhibit 99.1 and incorporated herein by reference.</w:t>
      </w:r>
    </w:p>
    <w:p>
      <w:pPr>
        <w:spacing w:after="0" w:line="14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information in this Item 2.02 of Form 8-K and in Exhibit 99.1 attached hereto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Earnings Presentation</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On July 28, 2022, the Company will make a presentation about its financial and operating results for the second quarter of 2022, as noted in the press release described in Item 2.02 above. The Company has posted the presentation on its website at http://www.flowserve.com under the “Investor Relations” section.</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information in this Item 7.01 of Form 8-K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ind w:left="760" w:hanging="752"/>
        <w:spacing w:after="0"/>
        <w:tabs>
          <w:tab w:leader="none" w:pos="76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00" w:type="dxa"/>
            <w:vAlign w:val="bottom"/>
            <w:gridSpan w:val="2"/>
          </w:tcPr>
          <w:p>
            <w:pPr>
              <w:spacing w:after="0"/>
              <w:rPr>
                <w:sz w:val="20"/>
                <w:szCs w:val="20"/>
                <w:color w:val="auto"/>
              </w:rPr>
            </w:pPr>
            <w:r>
              <w:rPr>
                <w:rFonts w:ascii="Arial" w:cs="Arial" w:eastAsia="Arial" w:hAnsi="Arial"/>
                <w:sz w:val="18"/>
                <w:szCs w:val="18"/>
                <w:b w:val="1"/>
                <w:bCs w:val="1"/>
                <w:color w:val="auto"/>
              </w:rPr>
              <w:t>Exhibit</w:t>
            </w:r>
          </w:p>
        </w:tc>
        <w:tc>
          <w:tcPr>
            <w:tcW w:w="34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7560" w:type="dxa"/>
            <w:vAlign w:val="bottom"/>
            <w:vMerge w:val="restart"/>
          </w:tcPr>
          <w:p>
            <w:pPr>
              <w:ind w:left="2060"/>
              <w:spacing w:after="0"/>
              <w:rPr>
                <w:sz w:val="20"/>
                <w:szCs w:val="20"/>
                <w:color w:val="auto"/>
              </w:rPr>
            </w:pPr>
            <w:r>
              <w:rPr>
                <w:rFonts w:ascii="Arial" w:cs="Arial" w:eastAsia="Arial" w:hAnsi="Arial"/>
                <w:sz w:val="18"/>
                <w:szCs w:val="18"/>
                <w:b w:val="1"/>
                <w:bCs w:val="1"/>
                <w:color w:val="auto"/>
              </w:rPr>
              <w:t>Description</w:t>
            </w:r>
          </w:p>
        </w:tc>
        <w:tc>
          <w:tcPr>
            <w:tcW w:w="0" w:type="dxa"/>
            <w:vAlign w:val="bottom"/>
          </w:tcPr>
          <w:p>
            <w:pPr>
              <w:spacing w:after="0"/>
              <w:rPr>
                <w:sz w:val="1"/>
                <w:szCs w:val="1"/>
                <w:color w:val="auto"/>
              </w:rPr>
            </w:pPr>
          </w:p>
        </w:tc>
      </w:tr>
      <w:tr>
        <w:trPr>
          <w:trHeight w:val="126"/>
        </w:trPr>
        <w:tc>
          <w:tcPr>
            <w:tcW w:w="8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No.</w:t>
            </w:r>
          </w:p>
        </w:tc>
        <w:tc>
          <w:tcPr>
            <w:tcW w:w="34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7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800" w:type="dxa"/>
            <w:vAlign w:val="bottom"/>
            <w:tcBorders>
              <w:bottom w:val="single" w:sz="8" w:color="auto"/>
            </w:tcBorders>
            <w:gridSpan w:val="2"/>
            <w:vMerge w:val="continue"/>
          </w:tcPr>
          <w:p>
            <w:pPr>
              <w:spacing w:after="0"/>
              <w:rPr>
                <w:sz w:val="10"/>
                <w:szCs w:val="10"/>
                <w:color w:val="auto"/>
              </w:rPr>
            </w:pPr>
          </w:p>
        </w:tc>
        <w:tc>
          <w:tcPr>
            <w:tcW w:w="340" w:type="dxa"/>
            <w:vAlign w:val="bottom"/>
          </w:tcPr>
          <w:p>
            <w:pPr>
              <w:spacing w:after="0"/>
              <w:rPr>
                <w:sz w:val="10"/>
                <w:szCs w:val="10"/>
                <w:color w:val="auto"/>
              </w:rPr>
            </w:pPr>
          </w:p>
        </w:tc>
        <w:tc>
          <w:tcPr>
            <w:tcW w:w="2540" w:type="dxa"/>
            <w:vAlign w:val="bottom"/>
            <w:tcBorders>
              <w:bottom w:val="single" w:sz="8" w:color="auto"/>
            </w:tcBorders>
          </w:tcPr>
          <w:p>
            <w:pPr>
              <w:spacing w:after="0"/>
              <w:rPr>
                <w:sz w:val="10"/>
                <w:szCs w:val="10"/>
                <w:color w:val="auto"/>
              </w:rPr>
            </w:pPr>
          </w:p>
        </w:tc>
        <w:tc>
          <w:tcPr>
            <w:tcW w:w="75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1"/>
        </w:trPr>
        <w:tc>
          <w:tcPr>
            <w:tcW w:w="80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340" w:type="dxa"/>
            <w:vAlign w:val="bottom"/>
          </w:tcPr>
          <w:p>
            <w:pPr>
              <w:spacing w:after="0"/>
              <w:rPr>
                <w:sz w:val="24"/>
                <w:szCs w:val="24"/>
                <w:color w:val="auto"/>
              </w:rPr>
            </w:pPr>
          </w:p>
        </w:tc>
        <w:tc>
          <w:tcPr>
            <w:tcW w:w="1010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July 27, 2022.</w:t>
              </w:r>
            </w:hyperlink>
          </w:p>
        </w:tc>
        <w:tc>
          <w:tcPr>
            <w:tcW w:w="0" w:type="dxa"/>
            <w:vAlign w:val="bottom"/>
          </w:tcPr>
          <w:p>
            <w:pPr>
              <w:spacing w:after="0"/>
              <w:rPr>
                <w:sz w:val="1"/>
                <w:szCs w:val="1"/>
                <w:color w:val="auto"/>
              </w:rPr>
            </w:pPr>
          </w:p>
        </w:tc>
      </w:tr>
      <w:tr>
        <w:trPr>
          <w:trHeight w:val="203"/>
        </w:trPr>
        <w:tc>
          <w:tcPr>
            <w:tcW w:w="320" w:type="dxa"/>
            <w:vAlign w:val="bottom"/>
            <w:tcBorders>
              <w:top w:val="single" w:sz="8" w:color="0000EE"/>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2540" w:type="dxa"/>
            <w:vAlign w:val="bottom"/>
            <w:tcBorders>
              <w:top w:val="single" w:sz="8" w:color="0000EE"/>
              <w:bottom w:val="single" w:sz="8" w:color="auto"/>
            </w:tcBorders>
          </w:tcPr>
          <w:p>
            <w:pPr>
              <w:spacing w:after="0"/>
              <w:rPr>
                <w:sz w:val="17"/>
                <w:szCs w:val="17"/>
                <w:color w:val="auto"/>
              </w:rPr>
            </w:pPr>
          </w:p>
        </w:tc>
        <w:tc>
          <w:tcPr>
            <w:tcW w:w="75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1"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6"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FLOWSERVE CORPORATION</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tabs>
          <w:tab w:leader="none" w:pos="5620" w:val="left"/>
          <w:tab w:leader="none" w:pos="6260" w:val="left"/>
        </w:tabs>
        <w:rPr>
          <w:sz w:val="20"/>
          <w:szCs w:val="20"/>
          <w:color w:val="auto"/>
        </w:rPr>
      </w:pPr>
      <w:r>
        <w:rPr>
          <w:rFonts w:ascii="Arial" w:cs="Arial" w:eastAsia="Arial" w:hAnsi="Arial"/>
          <w:sz w:val="18"/>
          <w:szCs w:val="18"/>
          <w:color w:val="auto"/>
        </w:rPr>
        <w:t>Dated: July 27,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w:t>
      </w:r>
      <w:r>
        <w:rPr>
          <w:rFonts w:ascii="Arial" w:cs="Arial" w:eastAsia="Arial" w:hAnsi="Arial"/>
          <w:sz w:val="11"/>
          <w:szCs w:val="11"/>
          <w:color w:val="auto"/>
        </w:rPr>
        <w:t>S</w:t>
      </w:r>
      <w:r>
        <w:rPr>
          <w:rFonts w:ascii="Arial" w:cs="Arial" w:eastAsia="Arial" w:hAnsi="Arial"/>
          <w:sz w:val="16"/>
          <w:szCs w:val="16"/>
          <w:color w:val="auto"/>
        </w:rPr>
        <w:t>/ Amy B. Schwetz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3785235</wp:posOffset>
            </wp:positionH>
            <wp:positionV relativeFrom="paragraph">
              <wp:posOffset>14605</wp:posOffset>
            </wp:positionV>
            <wp:extent cx="335153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35153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Amy B. Schwetz</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Senior Vice President, Chief Financial Officer</w:t>
      </w:r>
    </w:p>
    <w:p>
      <w:pPr>
        <w:sectPr>
          <w:pgSz w:w="11900" w:h="16838" w:orient="portrait"/>
          <w:cols w:equalWidth="0" w:num="1">
            <w:col w:w="11240"/>
          </w:cols>
          <w:pgMar w:left="320" w:top="121"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ind w:left="220"/>
        <w:spacing w:after="0"/>
        <w:rPr>
          <w:sz w:val="20"/>
          <w:szCs w:val="20"/>
          <w:color w:val="auto"/>
        </w:rPr>
      </w:pPr>
      <w:r>
        <w:rPr>
          <w:rFonts w:ascii="Arial" w:cs="Arial" w:eastAsia="Arial" w:hAnsi="Arial"/>
          <w:sz w:val="23"/>
          <w:szCs w:val="23"/>
          <w:b w:val="1"/>
          <w:bCs w:val="1"/>
          <w:color w:val="auto"/>
        </w:rPr>
        <w:t>Flowserve Corporation Reports Second Quarter 2022 Results; Affirms 2022 Adjusted EPS Guidance</w:t>
      </w:r>
    </w:p>
    <w:p>
      <w:pPr>
        <w:spacing w:after="0" w:line="244" w:lineRule="exact"/>
        <w:rPr>
          <w:sz w:val="20"/>
          <w:szCs w:val="20"/>
          <w:color w:val="auto"/>
        </w:rPr>
      </w:pPr>
    </w:p>
    <w:p>
      <w:pPr>
        <w:ind w:left="540" w:right="240"/>
        <w:spacing w:after="0" w:line="256" w:lineRule="auto"/>
        <w:rPr>
          <w:sz w:val="20"/>
          <w:szCs w:val="20"/>
          <w:color w:val="auto"/>
        </w:rPr>
      </w:pPr>
      <w:r>
        <w:rPr>
          <w:rFonts w:ascii="Arial" w:cs="Arial" w:eastAsia="Arial" w:hAnsi="Arial"/>
          <w:sz w:val="22"/>
          <w:szCs w:val="22"/>
          <w:b w:val="1"/>
          <w:bCs w:val="1"/>
          <w:color w:val="auto"/>
        </w:rPr>
        <w:t>Strong bookings of $1.04 billion increased 9.6% year-over-year and 14.5% constant currency, marking the second consecutive quarter with bookings over $1 billion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42" w:lineRule="exact"/>
        <w:rPr>
          <w:sz w:val="20"/>
          <w:szCs w:val="20"/>
          <w:color w:val="auto"/>
        </w:rPr>
      </w:pPr>
    </w:p>
    <w:p>
      <w:pPr>
        <w:ind w:left="540" w:right="580"/>
        <w:spacing w:after="0" w:line="256" w:lineRule="auto"/>
        <w:rPr>
          <w:sz w:val="20"/>
          <w:szCs w:val="20"/>
          <w:color w:val="auto"/>
        </w:rPr>
      </w:pPr>
      <w:r>
        <w:rPr>
          <w:rFonts w:ascii="Arial" w:cs="Arial" w:eastAsia="Arial" w:hAnsi="Arial"/>
          <w:sz w:val="22"/>
          <w:szCs w:val="22"/>
          <w:b w:val="1"/>
          <w:bCs w:val="1"/>
          <w:color w:val="auto"/>
        </w:rPr>
        <w:t>Backlog of $2.32 billion at June 30 was up 15.6% versus 2021 year-end and 18.8% year-over-year, reaching its highest level since Q3 2015 and positioning the Company for growth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42" w:lineRule="exact"/>
        <w:rPr>
          <w:sz w:val="20"/>
          <w:szCs w:val="20"/>
          <w:color w:val="auto"/>
        </w:rPr>
      </w:pPr>
    </w:p>
    <w:p>
      <w:pPr>
        <w:ind w:left="540" w:right="500"/>
        <w:spacing w:after="0" w:line="456" w:lineRule="auto"/>
        <w:rPr>
          <w:sz w:val="20"/>
          <w:szCs w:val="20"/>
          <w:color w:val="auto"/>
        </w:rPr>
      </w:pPr>
      <w:r>
        <w:rPr>
          <w:rFonts w:ascii="Arial" w:cs="Arial" w:eastAsia="Arial" w:hAnsi="Arial"/>
          <w:sz w:val="21"/>
          <w:szCs w:val="21"/>
          <w:b w:val="1"/>
          <w:bCs w:val="1"/>
          <w:color w:val="auto"/>
        </w:rPr>
        <w:t>Diversify, Decarbonize and Digitize (“3D”) strategy accelerating bookings growth in current market conditions Sequential incremental adjusted operating margin of 60% on 7.4% revenue growth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-517525</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-226060</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540" w:right="120"/>
        <w:spacing w:after="0" w:line="256" w:lineRule="auto"/>
        <w:rPr>
          <w:sz w:val="20"/>
          <w:szCs w:val="20"/>
          <w:color w:val="auto"/>
        </w:rPr>
      </w:pPr>
      <w:r>
        <w:rPr>
          <w:rFonts w:ascii="Arial" w:cs="Arial" w:eastAsia="Arial" w:hAnsi="Arial"/>
          <w:sz w:val="22"/>
          <w:szCs w:val="22"/>
          <w:b w:val="1"/>
          <w:bCs w:val="1"/>
          <w:color w:val="auto"/>
        </w:rPr>
        <w:t>Reported Earnings Per Share of 34 cents, includes 4 cents of net benefit due primarily to $10 million below-the-line foreign exchange gain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42"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Adjusted Earnings Per Share of 30 cents, exceeding prior expectations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92" w:lineRule="exact"/>
        <w:rPr>
          <w:sz w:val="20"/>
          <w:szCs w:val="20"/>
          <w:color w:val="auto"/>
        </w:rPr>
      </w:pPr>
    </w:p>
    <w:p>
      <w:pPr>
        <w:ind w:right="420"/>
        <w:spacing w:after="0"/>
        <w:rPr>
          <w:sz w:val="20"/>
          <w:szCs w:val="20"/>
          <w:color w:val="auto"/>
        </w:rPr>
      </w:pPr>
      <w:r>
        <w:rPr>
          <w:rFonts w:ascii="Arial" w:cs="Arial" w:eastAsia="Arial" w:hAnsi="Arial"/>
          <w:sz w:val="22"/>
          <w:szCs w:val="22"/>
          <w:color w:val="auto"/>
        </w:rPr>
        <w:t>DALLAS--(BUSINESS WIRE)--July 27, 2022--Flowserve Corporation (NYSE: FLS), a leading provider of flow control products and services for the global infrastructure markets, today announced its financial results for the second quarter ended June 30, 2022.</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Second Quarter 2022 Highlights</w:t>
      </w:r>
      <w:r>
        <w:rPr>
          <w:rFonts w:ascii="Arial" w:cs="Arial" w:eastAsia="Arial" w:hAnsi="Arial"/>
          <w:sz w:val="22"/>
          <w:szCs w:val="22"/>
          <w:b w:val="1"/>
          <w:bCs w:val="1"/>
          <w:color w:val="auto"/>
        </w:rPr>
        <w:t xml:space="preserve"> </w:t>
      </w:r>
      <w:r>
        <w:rPr>
          <w:rFonts w:ascii="Arial" w:cs="Arial" w:eastAsia="Arial" w:hAnsi="Arial"/>
          <w:sz w:val="22"/>
          <w:szCs w:val="22"/>
          <w:color w:val="auto"/>
        </w:rPr>
        <w:t>(all comparisons to the 2021 second quarter, unless otherwise noted)</w:t>
      </w:r>
    </w:p>
    <w:p>
      <w:pPr>
        <w:spacing w:after="0" w:line="71"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Earnings Per Share (EPS) of $0.34 and Adjusted EPS</w:t>
      </w:r>
      <w:r>
        <w:rPr>
          <w:rFonts w:ascii="Arial" w:cs="Arial" w:eastAsia="Arial" w:hAnsi="Arial"/>
          <w:sz w:val="35"/>
          <w:szCs w:val="35"/>
          <w:color w:val="auto"/>
          <w:vertAlign w:val="superscript"/>
        </w:rPr>
        <w:t>1</w:t>
      </w:r>
      <w:r>
        <w:rPr>
          <w:rFonts w:ascii="Arial" w:cs="Arial" w:eastAsia="Arial" w:hAnsi="Arial"/>
          <w:sz w:val="22"/>
          <w:szCs w:val="22"/>
          <w:color w:val="auto"/>
        </w:rPr>
        <w:t xml:space="preserve"> of $0.30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400"/>
        <w:spacing w:after="0" w:line="236" w:lineRule="auto"/>
        <w:rPr>
          <w:sz w:val="20"/>
          <w:szCs w:val="20"/>
          <w:color w:val="auto"/>
        </w:rPr>
      </w:pPr>
      <w:r>
        <w:rPr>
          <w:rFonts w:ascii="Arial" w:cs="Arial" w:eastAsia="Arial" w:hAnsi="Arial"/>
          <w:sz w:val="22"/>
          <w:szCs w:val="22"/>
          <w:color w:val="auto"/>
        </w:rPr>
        <w:t>Reported EPS includes a $10.1 million below-the-line FX benefit, partially offset by a $3.0 million discrete asset write-down and modest realignment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-266065</wp:posOffset>
            </wp:positionV>
            <wp:extent cx="68580" cy="679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7945"/>
                    </a:xfrm>
                    <a:prstGeom prst="rect">
                      <a:avLst/>
                    </a:prstGeom>
                    <a:noFill/>
                  </pic:spPr>
                </pic:pic>
              </a:graphicData>
            </a:graphic>
          </wp:anchor>
        </w:drawing>
      </w:r>
    </w:p>
    <w:p>
      <w:pPr>
        <w:spacing w:after="0" w:line="167" w:lineRule="exact"/>
        <w:rPr>
          <w:sz w:val="20"/>
          <w:szCs w:val="20"/>
          <w:color w:val="auto"/>
        </w:rPr>
      </w:pPr>
    </w:p>
    <w:p>
      <w:pPr>
        <w:ind w:left="540"/>
        <w:spacing w:after="0"/>
        <w:rPr>
          <w:sz w:val="20"/>
          <w:szCs w:val="20"/>
          <w:color w:val="auto"/>
        </w:rPr>
      </w:pPr>
      <w:r>
        <w:rPr>
          <w:rFonts w:ascii="Arial" w:cs="Arial" w:eastAsia="Arial" w:hAnsi="Arial"/>
          <w:sz w:val="22"/>
          <w:szCs w:val="22"/>
          <w:color w:val="auto"/>
        </w:rPr>
        <w:t>Total bookings were $1.04 billion, up 9.6%, or 14.5%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1540"/>
        <w:spacing w:after="0" w:line="308" w:lineRule="auto"/>
        <w:rPr>
          <w:sz w:val="20"/>
          <w:szCs w:val="20"/>
          <w:color w:val="auto"/>
        </w:rPr>
      </w:pPr>
      <w:r>
        <w:rPr>
          <w:rFonts w:ascii="Arial" w:cs="Arial" w:eastAsia="Arial" w:hAnsi="Arial"/>
          <w:sz w:val="19"/>
          <w:szCs w:val="19"/>
          <w:color w:val="auto"/>
        </w:rPr>
        <w:t>Original equipment bookings were $518.0 million, up 21.1% or 26.9% on a constant currency basis Aftermarket bookings were $526.0 million, up 0.2%, or 4.5%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-306070</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-151765</wp:posOffset>
            </wp:positionV>
            <wp:extent cx="68580" cy="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3" w:lineRule="exact"/>
        <w:rPr>
          <w:sz w:val="20"/>
          <w:szCs w:val="20"/>
          <w:color w:val="auto"/>
        </w:rPr>
      </w:pPr>
    </w:p>
    <w:p>
      <w:pPr>
        <w:ind w:left="540"/>
        <w:spacing w:after="0"/>
        <w:rPr>
          <w:sz w:val="20"/>
          <w:szCs w:val="20"/>
          <w:color w:val="auto"/>
        </w:rPr>
      </w:pPr>
      <w:r>
        <w:rPr>
          <w:rFonts w:ascii="Arial" w:cs="Arial" w:eastAsia="Arial" w:hAnsi="Arial"/>
          <w:sz w:val="22"/>
          <w:szCs w:val="22"/>
          <w:color w:val="auto"/>
        </w:rPr>
        <w:t>Sales were $882.2 million, down 1.8%, or up 2.8%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1820"/>
        <w:spacing w:after="0" w:line="308" w:lineRule="auto"/>
        <w:rPr>
          <w:sz w:val="20"/>
          <w:szCs w:val="20"/>
          <w:color w:val="auto"/>
        </w:rPr>
      </w:pPr>
      <w:r>
        <w:rPr>
          <w:rFonts w:ascii="Arial" w:cs="Arial" w:eastAsia="Arial" w:hAnsi="Arial"/>
          <w:sz w:val="19"/>
          <w:szCs w:val="19"/>
          <w:color w:val="auto"/>
        </w:rPr>
        <w:t>Original equipment sales were $411.3 million, down 5.3%, or 0.2% on a constant currency basis Aftermarket sales were $470.9 million, up 1.6%, or up 5.7%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-306070</wp:posOffset>
            </wp:positionV>
            <wp:extent cx="68580" cy="685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-151765</wp:posOffset>
            </wp:positionV>
            <wp:extent cx="68580" cy="685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3"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gross and operating margins were 28.3% and 6.8%,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color w:val="auto"/>
        </w:rPr>
        <w:t>Adjusted gross and operating margins</w:t>
      </w:r>
      <w:r>
        <w:rPr>
          <w:rFonts w:ascii="Arial" w:cs="Arial" w:eastAsia="Arial" w:hAnsi="Arial"/>
          <w:sz w:val="35"/>
          <w:szCs w:val="35"/>
          <w:color w:val="auto"/>
          <w:vertAlign w:val="superscript"/>
        </w:rPr>
        <w:t>2</w:t>
      </w:r>
      <w:r>
        <w:rPr>
          <w:rFonts w:ascii="Arial" w:cs="Arial" w:eastAsia="Arial" w:hAnsi="Arial"/>
          <w:sz w:val="22"/>
          <w:szCs w:val="22"/>
          <w:color w:val="auto"/>
        </w:rPr>
        <w:t xml:space="preserve"> were 28.4% and 7.2%,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43180</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-200025</wp:posOffset>
            </wp:positionV>
            <wp:extent cx="68580" cy="685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4" w:name="page5"/>
    <w:bookmarkEnd w:id="4"/>
    <w:p>
      <w:pPr>
        <w:ind w:right="60"/>
        <w:spacing w:after="0" w:line="279" w:lineRule="auto"/>
        <w:rPr>
          <w:sz w:val="20"/>
          <w:szCs w:val="20"/>
          <w:color w:val="auto"/>
        </w:rPr>
      </w:pPr>
      <w:r>
        <w:rPr>
          <w:rFonts w:ascii="Arial" w:cs="Arial" w:eastAsia="Arial" w:hAnsi="Arial"/>
          <w:sz w:val="19"/>
          <w:szCs w:val="19"/>
          <w:color w:val="auto"/>
        </w:rPr>
        <w:t>“We delivered strong sequential earnings and margin improvement in the second quarter, supported by solid operational execution and continued efforts to mitigate ongoing supply chain and inflationary headwinds,” said Scott Rowe, Flowserve’s president and chief executive officer. “With our strong customer relationships and comprehensive flow control portfolio, we continued to capitalize on healthy demand across our served markets, which drove solid bookings growth, particularly within our aftermarket and MRO-focused businesses. We expect improved demand for both our traditional energy and energy transition offerings to continue in the quarters ahead, as our project funnel continues to grow.”</w:t>
      </w:r>
    </w:p>
    <w:p>
      <w:pPr>
        <w:spacing w:after="0" w:line="150" w:lineRule="exact"/>
        <w:rPr>
          <w:sz w:val="20"/>
          <w:szCs w:val="20"/>
          <w:color w:val="auto"/>
        </w:rPr>
      </w:pPr>
    </w:p>
    <w:p>
      <w:pPr>
        <w:ind w:right="160"/>
        <w:spacing w:after="0" w:line="234" w:lineRule="auto"/>
        <w:rPr>
          <w:sz w:val="20"/>
          <w:szCs w:val="20"/>
          <w:color w:val="auto"/>
        </w:rPr>
      </w:pPr>
      <w:r>
        <w:rPr>
          <w:rFonts w:ascii="Arial" w:cs="Arial" w:eastAsia="Arial" w:hAnsi="Arial"/>
          <w:sz w:val="22"/>
          <w:szCs w:val="22"/>
          <w:color w:val="auto"/>
        </w:rPr>
        <w:t>Rowe concluded, “Flowserve is well positioned to deliver further revenue and earnings growth in the second half of the year. These expectations are driven by our highest backlog since 2015 and our belief that supportive end-markets will continue, particularly for energy, chemical and power investments. Our 3D strategy to diversify, decarbonize and digitize has gained significant traction year-to-date, with strong first half bookings exceeding our targets, particularly as a result of strength in decarbonization and energy transition projects. Looking forward, we will continue to take action to mitigate external headwinds while we focus on accelerating our backlog conversion and margin expansion. We expect to build on our progress and exit 2022 with positive momentum, positioning us well to deliver substantial long-term value to our customers, shareholders and associates.”</w:t>
      </w:r>
    </w:p>
    <w:p>
      <w:pPr>
        <w:spacing w:after="0" w:line="18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2022 Guidance</w:t>
      </w:r>
      <w:r>
        <w:rPr>
          <w:rFonts w:ascii="Arial" w:cs="Arial" w:eastAsia="Arial" w:hAnsi="Arial"/>
          <w:sz w:val="35"/>
          <w:szCs w:val="35"/>
          <w:color w:val="auto"/>
          <w:vertAlign w:val="superscript"/>
        </w:rPr>
        <w:t>3</w:t>
      </w:r>
    </w:p>
    <w:p>
      <w:pPr>
        <w:spacing w:after="0" w:line="68" w:lineRule="exact"/>
        <w:rPr>
          <w:sz w:val="20"/>
          <w:szCs w:val="20"/>
          <w:color w:val="auto"/>
        </w:rPr>
      </w:pPr>
    </w:p>
    <w:p>
      <w:pPr>
        <w:spacing w:after="0" w:line="235" w:lineRule="auto"/>
        <w:rPr>
          <w:sz w:val="20"/>
          <w:szCs w:val="20"/>
          <w:color w:val="auto"/>
        </w:rPr>
      </w:pPr>
      <w:r>
        <w:rPr>
          <w:rFonts w:ascii="Arial" w:cs="Arial" w:eastAsia="Arial" w:hAnsi="Arial"/>
          <w:sz w:val="22"/>
          <w:szCs w:val="22"/>
          <w:color w:val="auto"/>
        </w:rPr>
        <w:t>Flowserve today reaffirmed its previously announced target ranges, as well as certain other financial metrics, it has provided in its full-year 2022 guidance issued on May 3, 2022. The company did indicate, however, that should the US Dollar persist at the current strong level through the remainder of the year, it expects full-year revenue, GAAP EPS and Adjusted EPS at the low end of those respective ranges. The company also noted that it expects to exit the fourth quarter of 2022 with an adjusted operating margin in the 12% to 14% range.</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Second Quarter 2022 Results Conference Call</w:t>
      </w:r>
    </w:p>
    <w:p>
      <w:pPr>
        <w:spacing w:after="0" w:line="206" w:lineRule="exact"/>
        <w:rPr>
          <w:sz w:val="20"/>
          <w:szCs w:val="20"/>
          <w:color w:val="auto"/>
        </w:rPr>
      </w:pPr>
    </w:p>
    <w:p>
      <w:pPr>
        <w:ind w:right="280"/>
        <w:spacing w:after="0" w:line="222" w:lineRule="auto"/>
        <w:rPr>
          <w:sz w:val="20"/>
          <w:szCs w:val="20"/>
          <w:color w:val="auto"/>
        </w:rPr>
      </w:pPr>
      <w:r>
        <w:rPr>
          <w:rFonts w:ascii="Arial" w:cs="Arial" w:eastAsia="Arial" w:hAnsi="Arial"/>
          <w:sz w:val="20"/>
          <w:szCs w:val="20"/>
          <w:color w:val="auto"/>
        </w:rPr>
        <w:t>Flowserve will host its conference call with the financial community on Thursday, July 28</w:t>
      </w:r>
      <w:r>
        <w:rPr>
          <w:rFonts w:ascii="Arial" w:cs="Arial" w:eastAsia="Arial" w:hAnsi="Arial"/>
          <w:sz w:val="32"/>
          <w:szCs w:val="32"/>
          <w:color w:val="auto"/>
          <w:vertAlign w:val="superscript"/>
        </w:rPr>
        <w:t>th</w:t>
      </w:r>
      <w:r>
        <w:rPr>
          <w:rFonts w:ascii="Arial" w:cs="Arial" w:eastAsia="Arial" w:hAnsi="Arial"/>
          <w:sz w:val="20"/>
          <w:szCs w:val="20"/>
          <w:color w:val="auto"/>
        </w:rPr>
        <w:t xml:space="preserve"> at 11:00 AM Eastern. Scott Rowe, president and chief executive officer, as well as other members of the management team will be presenting. The call can be accessed by shareholders and other interested parties at www.flowserve.com under the “Investor Relations” section.</w:t>
      </w:r>
    </w:p>
    <w:p>
      <w:pPr>
        <w:spacing w:after="0" w:line="92" w:lineRule="exact"/>
        <w:rPr>
          <w:sz w:val="20"/>
          <w:szCs w:val="20"/>
          <w:color w:val="auto"/>
        </w:rPr>
      </w:pPr>
    </w:p>
    <w:p>
      <w:pPr>
        <w:ind w:left="120" w:hanging="112"/>
        <w:spacing w:after="0"/>
        <w:tabs>
          <w:tab w:leader="none" w:pos="120" w:val="left"/>
        </w:tabs>
        <w:numPr>
          <w:ilvl w:val="0"/>
          <w:numId w:val="3"/>
        </w:numPr>
        <w:rPr>
          <w:rFonts w:ascii="Arial" w:cs="Arial" w:eastAsia="Arial" w:hAnsi="Arial"/>
          <w:sz w:val="30"/>
          <w:szCs w:val="30"/>
          <w:color w:val="auto"/>
          <w:vertAlign w:val="superscript"/>
        </w:rPr>
      </w:pPr>
      <w:r>
        <w:rPr>
          <w:rFonts w:ascii="Arial" w:cs="Arial" w:eastAsia="Arial" w:hAnsi="Arial"/>
          <w:sz w:val="18"/>
          <w:szCs w:val="18"/>
          <w:color w:val="auto"/>
        </w:rPr>
        <w:t>See Reconciliation of Non-GAAP Measures table for detailed reconciliation of reported results to adjusted measures.</w:t>
      </w:r>
    </w:p>
    <w:p>
      <w:pPr>
        <w:spacing w:after="0" w:line="15" w:lineRule="exact"/>
        <w:rPr>
          <w:sz w:val="20"/>
          <w:szCs w:val="20"/>
          <w:color w:val="auto"/>
        </w:rPr>
      </w:pPr>
    </w:p>
    <w:p>
      <w:pPr>
        <w:ind w:right="80" w:firstLine="8"/>
        <w:spacing w:after="0" w:line="222" w:lineRule="auto"/>
        <w:tabs>
          <w:tab w:leader="none" w:pos="112" w:val="left"/>
        </w:tabs>
        <w:numPr>
          <w:ilvl w:val="0"/>
          <w:numId w:val="4"/>
        </w:numPr>
        <w:rPr>
          <w:rFonts w:ascii="Arial" w:cs="Arial" w:eastAsia="Arial" w:hAnsi="Arial"/>
          <w:sz w:val="28"/>
          <w:szCs w:val="28"/>
          <w:color w:val="auto"/>
          <w:vertAlign w:val="superscript"/>
        </w:rPr>
      </w:pPr>
      <w:r>
        <w:rPr>
          <w:rFonts w:ascii="Arial" w:cs="Arial" w:eastAsia="Arial" w:hAnsi="Arial"/>
          <w:sz w:val="17"/>
          <w:szCs w:val="17"/>
          <w:color w:val="auto"/>
        </w:rPr>
        <w:t>Adjusted gross and operating margins are calculated by dividing adjusted gross profit and adjusted operating income, respectively, by revenues. Adjusted gross profit and adjusted operating income are derived by excluding the adjusted items. See reconciliation of Non-GAAP Measures table for detailed reconciliation.</w:t>
      </w:r>
    </w:p>
    <w:p>
      <w:pPr>
        <w:spacing w:after="0" w:line="3" w:lineRule="exact"/>
        <w:rPr>
          <w:rFonts w:ascii="Arial" w:cs="Arial" w:eastAsia="Arial" w:hAnsi="Arial"/>
          <w:sz w:val="28"/>
          <w:szCs w:val="28"/>
          <w:color w:val="auto"/>
          <w:vertAlign w:val="superscript"/>
        </w:rPr>
      </w:pPr>
    </w:p>
    <w:p>
      <w:pPr>
        <w:ind w:right="120"/>
        <w:spacing w:after="0" w:line="202" w:lineRule="auto"/>
        <w:rPr>
          <w:rFonts w:ascii="Arial" w:cs="Arial" w:eastAsia="Arial" w:hAnsi="Arial"/>
          <w:sz w:val="28"/>
          <w:szCs w:val="28"/>
          <w:color w:val="auto"/>
          <w:vertAlign w:val="superscript"/>
        </w:rPr>
      </w:pPr>
      <w:r>
        <w:rPr>
          <w:rFonts w:ascii="Arial" w:cs="Arial" w:eastAsia="Arial" w:hAnsi="Arial"/>
          <w:sz w:val="29"/>
          <w:szCs w:val="29"/>
          <w:color w:val="auto"/>
          <w:vertAlign w:val="superscript"/>
        </w:rPr>
        <w:t>3</w:t>
      </w:r>
      <w:r>
        <w:rPr>
          <w:rFonts w:ascii="Arial" w:cs="Arial" w:eastAsia="Arial" w:hAnsi="Arial"/>
          <w:sz w:val="18"/>
          <w:szCs w:val="18"/>
          <w:color w:val="auto"/>
        </w:rPr>
        <w:t xml:space="preserve"> Adjusted 2022 EPS excludes realignment expenses, the impact from other specific discrete items and below-the-line foreign currency effects and utilizes current FX rates and approximately 131 million fully diluted shares.</w:t>
      </w:r>
    </w:p>
    <w:p>
      <w:pPr>
        <w:spacing w:after="0" w:line="4" w:lineRule="exact"/>
        <w:rPr>
          <w:rFonts w:ascii="Arial" w:cs="Arial" w:eastAsia="Arial" w:hAnsi="Arial"/>
          <w:sz w:val="28"/>
          <w:szCs w:val="28"/>
          <w:color w:val="auto"/>
          <w:vertAlign w:val="superscript"/>
        </w:rPr>
      </w:pPr>
    </w:p>
    <w:p>
      <w:pPr>
        <w:ind w:right="120"/>
        <w:spacing w:after="0" w:line="202" w:lineRule="auto"/>
        <w:rPr>
          <w:rFonts w:ascii="Arial" w:cs="Arial" w:eastAsia="Arial" w:hAnsi="Arial"/>
          <w:sz w:val="28"/>
          <w:szCs w:val="28"/>
          <w:color w:val="auto"/>
          <w:vertAlign w:val="superscript"/>
        </w:rPr>
      </w:pPr>
      <w:r>
        <w:rPr>
          <w:rFonts w:ascii="Arial" w:cs="Arial" w:eastAsia="Arial" w:hAnsi="Arial"/>
          <w:sz w:val="29"/>
          <w:szCs w:val="29"/>
          <w:color w:val="auto"/>
          <w:vertAlign w:val="superscript"/>
        </w:rPr>
        <w:t>_</w:t>
      </w:r>
      <w:r>
        <w:rPr>
          <w:rFonts w:ascii="Arial" w:cs="Arial" w:eastAsia="Arial" w:hAnsi="Arial"/>
          <w:sz w:val="18"/>
          <w:szCs w:val="18"/>
          <w:color w:val="auto"/>
        </w:rPr>
        <w:t xml:space="preserve"> FX impact is calculated by comparing the difference between the actual average FX rates of 2022 and the year-end 2021 spot rates both as applied to our 2022 expectations, divided by the number of shares expected for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120650</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4" w:right="3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About Flowserve</w:t>
      </w:r>
    </w:p>
    <w:p>
      <w:pPr>
        <w:spacing w:after="0" w:line="212" w:lineRule="exact"/>
        <w:rPr>
          <w:sz w:val="20"/>
          <w:szCs w:val="20"/>
          <w:color w:val="auto"/>
        </w:rPr>
      </w:pPr>
    </w:p>
    <w:p>
      <w:pPr>
        <w:ind w:right="420"/>
        <w:spacing w:after="0" w:line="238" w:lineRule="auto"/>
        <w:rPr>
          <w:sz w:val="20"/>
          <w:szCs w:val="20"/>
          <w:color w:val="auto"/>
        </w:rPr>
      </w:pPr>
      <w:r>
        <w:rPr>
          <w:rFonts w:ascii="Arial" w:cs="Arial" w:eastAsia="Arial" w:hAnsi="Arial"/>
          <w:sz w:val="22"/>
          <w:szCs w:val="22"/>
          <w:color w:val="auto"/>
        </w:rPr>
        <w:t>Flowserve Corp. is one of the world’s leading providers of fluid motion and control products and services. Operating in more than 50 countries, the company produces engineered and industrial pumps, seals and valves as well as a range of related flow management services. More information about Flowserve can be obtained by visiting the company’s Web site at www.flowserve.com.</w:t>
      </w:r>
    </w:p>
    <w:p>
      <w:pPr>
        <w:spacing w:after="0" w:line="179" w:lineRule="exact"/>
        <w:rPr>
          <w:sz w:val="20"/>
          <w:szCs w:val="20"/>
          <w:color w:val="auto"/>
        </w:rPr>
      </w:pPr>
    </w:p>
    <w:p>
      <w:pPr>
        <w:jc w:val="both"/>
        <w:ind w:right="540"/>
        <w:spacing w:after="0" w:line="275" w:lineRule="auto"/>
        <w:rPr>
          <w:sz w:val="20"/>
          <w:szCs w:val="20"/>
          <w:color w:val="auto"/>
        </w:rPr>
      </w:pPr>
      <w:r>
        <w:rPr>
          <w:rFonts w:ascii="Arial" w:cs="Arial" w:eastAsia="Arial" w:hAnsi="Arial"/>
          <w:sz w:val="19"/>
          <w:szCs w:val="19"/>
          <w:b w:val="1"/>
          <w:bCs w:val="1"/>
          <w:color w:val="auto"/>
        </w:rPr>
        <w:t>Safe Harbor Statement</w:t>
      </w:r>
      <w:r>
        <w:rPr>
          <w:rFonts w:ascii="Arial" w:cs="Arial" w:eastAsia="Arial" w:hAnsi="Arial"/>
          <w:sz w:val="19"/>
          <w:szCs w:val="19"/>
          <w:color w:val="auto"/>
        </w:rPr>
        <w:t>: This news release includes forward-looking statements within the meaning of Section 27A of the</w:t>
      </w:r>
      <w:r>
        <w:rPr>
          <w:rFonts w:ascii="Arial" w:cs="Arial" w:eastAsia="Arial" w:hAnsi="Arial"/>
          <w:sz w:val="19"/>
          <w:szCs w:val="19"/>
          <w:b w:val="1"/>
          <w:bCs w:val="1"/>
          <w:color w:val="auto"/>
        </w:rPr>
        <w:t xml:space="preserve"> </w:t>
      </w:r>
      <w:r>
        <w:rPr>
          <w:rFonts w:ascii="Arial" w:cs="Arial" w:eastAsia="Arial" w:hAnsi="Arial"/>
          <w:sz w:val="19"/>
          <w:szCs w:val="19"/>
          <w:color w:val="auto"/>
        </w:rPr>
        <w:t>Securities Act of 1933 and Section 21E of the Securities Exchange Act of 1934, which are made pursuant to the safe harbor provisions of the Private Securities Litigation Reform Act of 1995, as amended. Words or phrases such as, "may," "should,"</w:t>
      </w:r>
    </w:p>
    <w:p>
      <w:pPr>
        <w:spacing w:after="0" w:line="2" w:lineRule="exact"/>
        <w:rPr>
          <w:sz w:val="20"/>
          <w:szCs w:val="20"/>
          <w:color w:val="auto"/>
        </w:rPr>
      </w:pPr>
    </w:p>
    <w:p>
      <w:pPr>
        <w:ind w:right="40"/>
        <w:spacing w:after="0" w:line="246" w:lineRule="auto"/>
        <w:rPr>
          <w:sz w:val="20"/>
          <w:szCs w:val="20"/>
          <w:color w:val="auto"/>
        </w:rPr>
      </w:pPr>
      <w:r>
        <w:rPr>
          <w:rFonts w:ascii="Arial" w:cs="Arial" w:eastAsia="Arial" w:hAnsi="Arial"/>
          <w:sz w:val="21"/>
          <w:szCs w:val="21"/>
          <w:color w:val="auto"/>
        </w:rPr>
        <w:t>"expects," "could," "intends," "plans," "anticipates," "estimates," "believes," "forecasts," "predicts" or other similar expressions are intended to identify forward-looking statements, which include, without limitation, earnings forecasts, statements relating to our business strategy and statements of expectations, beliefs, future plans and strategies and anticipated developments concerning our industry, business, operations and financial performance and condition.</w:t>
      </w:r>
    </w:p>
    <w:p>
      <w:pPr>
        <w:spacing w:after="0" w:line="180"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The forward-looking statements included in this news release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 the impact of the global outbreak of COVID-19 on our business and operations; a portion of our bookings may not lead to completed sales, and our ability to convert bookings into revenues at acceptable profit margins; changes in global economic conditions and the potential for unexpected cancellations or delays of customer orders in our reported backlog; our dependence on our customers’ ability to make required capital investment and maintenance expenditures; if we are not able to successfully execute and realize the expected financial benefits from our strategic transformation and realignment initiatives, our business could be adversely affected; risks associated with cost overruns on fixed-fee projects and in taking customer orders for large complex custom engineered products; the substantial dependence of our sales on the success of the oil and gas, chemical, power generation and water management industries; the adverse impact of volatile raw materials prices on our products and operating margins; economic, political and other risks associated with our international operations, including military actions, trade embargoes, epidemics or pandemics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 increased aging and slower collection of receivables, particularly in Latin America and other emerging markets; our exposure to fluctuations in foreign currency exchange rates, including in hyperinflationary countries such as Venezuela and Argentina; our furnishing of products and services to nuclear power plant facilities and other critical processes; potential adverse consequences resulting from litigation to which we are a party, such as litigation involving asbestos-containing material claims; expectations regarding acquisitions and the integration of acquired businesses; our relative geographical profitability and its impact on our utilization of deferred tax assets, including foreign tax credits; the potential adverse impact of an impairment in the carrying value of goodwill or other intangible assets; our dependence upon second-party suppliers whose failure to perform timely could adversely affect our business operations; the highly competitive nature of the markets in which we operate; environmental compliance costs and liabilities; potential work stoppages and other labor matters; access to public and private sources of debt financing; our inability to protect our intellectual property in the U.S., as well as in foreign countries; obligations under our defined benefit pension plans; our internal control over financial reporting may not prevent or detect misstatements because of its inherent limitations, including the possibility of human error, the circumvention or overriding of controls, or fraud; the recording of increased deferred tax asset valuation allowances in the future or the impact of tax law changes on such deferred tax assets could affect our operating results; our information technology infrastructure could be subject to service interruptions, data corruption, cyber-based attacks or network security breaches, which could disrupt our business operations and result in the loss of critical and confidential information; ineffective internal controls could impact the accuracy and timely reporting of our business and financial results; and other factors described from time to time in our filings with the Securities and Exchange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285115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6" w:name="page7"/>
    <w:bookmarkEnd w:id="6"/>
    <w:p>
      <w:pPr>
        <w:ind w:right="140"/>
        <w:spacing w:after="0" w:line="250" w:lineRule="auto"/>
        <w:rPr>
          <w:sz w:val="20"/>
          <w:szCs w:val="20"/>
          <w:color w:val="auto"/>
        </w:rPr>
      </w:pPr>
      <w:r>
        <w:rPr>
          <w:rFonts w:ascii="Arial" w:cs="Arial" w:eastAsia="Arial" w:hAnsi="Arial"/>
          <w:sz w:val="22"/>
          <w:szCs w:val="22"/>
          <w:color w:val="auto"/>
        </w:rPr>
        <w:t>All forward-looking statements included in this news release are based on information available to us on the date hereof, and we assume no obligation to update any forward-looking statement.</w:t>
      </w:r>
    </w:p>
    <w:p>
      <w:pPr>
        <w:spacing w:after="0" w:line="175" w:lineRule="exact"/>
        <w:rPr>
          <w:sz w:val="20"/>
          <w:szCs w:val="20"/>
          <w:color w:val="auto"/>
        </w:rPr>
      </w:pPr>
    </w:p>
    <w:p>
      <w:pPr>
        <w:ind w:right="220"/>
        <w:spacing w:after="0" w:line="246" w:lineRule="auto"/>
        <w:rPr>
          <w:sz w:val="20"/>
          <w:szCs w:val="20"/>
          <w:color w:val="auto"/>
        </w:rPr>
      </w:pPr>
      <w:r>
        <w:rPr>
          <w:rFonts w:ascii="Arial" w:cs="Arial" w:eastAsia="Arial" w:hAnsi="Arial"/>
          <w:sz w:val="21"/>
          <w:szCs w:val="21"/>
          <w:color w:val="auto"/>
        </w:rPr>
        <w:t>The Company reports its financial results in accordance with U.S. generally accepted accounting principles (GAAP). However, management believes that non-GAAP financial measures which exclude certain non-recurring items present additional useful comparisons between current results and results in prior operating periods, providing investors with a clearer view of the underlying trends of the business. Management also uses these non-GAAP financial measures in making financial, operating, planning and compensation decisions and in evaluating the Company's performance. Throughout our materials we refer to non-GAAP measures as “Adjusted.” Non-GAAP financial measures, which may be inconsistent with similarly captioned measures presented by other companies, should be viewed in addition to, and not as a substitute for, the Company’s reported results prepared in accordance with GAAP.</w:t>
      </w:r>
    </w:p>
    <w:p>
      <w:pPr>
        <w:spacing w:after="0" w:line="200" w:lineRule="exact"/>
        <w:rPr>
          <w:sz w:val="20"/>
          <w:szCs w:val="20"/>
          <w:color w:val="auto"/>
        </w:rPr>
      </w:pP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80" w:type="dxa"/>
            <w:vAlign w:val="bottom"/>
          </w:tcPr>
          <w:p>
            <w:pPr>
              <w:spacing w:after="0"/>
              <w:rPr>
                <w:sz w:val="20"/>
                <w:szCs w:val="20"/>
                <w:color w:val="auto"/>
              </w:rPr>
            </w:pPr>
            <w:r>
              <w:rPr>
                <w:rFonts w:ascii="Arial" w:cs="Arial" w:eastAsia="Arial" w:hAnsi="Arial"/>
                <w:sz w:val="18"/>
                <w:szCs w:val="18"/>
                <w:b w:val="1"/>
                <w:bCs w:val="1"/>
                <w:color w:val="auto"/>
              </w:rPr>
              <w:t>CONDENSED CONSOLIDATED STATEMENTS OF INCOME</w:t>
            </w: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8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2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080" w:type="dxa"/>
            <w:vAlign w:val="bottom"/>
          </w:tcPr>
          <w:p>
            <w:pPr>
              <w:spacing w:after="0"/>
              <w:rPr>
                <w:sz w:val="21"/>
                <w:szCs w:val="21"/>
                <w:color w:val="auto"/>
              </w:rPr>
            </w:pPr>
          </w:p>
        </w:tc>
        <w:tc>
          <w:tcPr>
            <w:tcW w:w="234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b w:val="1"/>
                <w:bCs w:val="1"/>
                <w:color w:val="auto"/>
                <w:w w:val="90"/>
              </w:rPr>
              <w:t>Three Months Ended June 30,</w:t>
            </w: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24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2021</w:t>
            </w: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6"/>
        </w:trPr>
        <w:tc>
          <w:tcPr>
            <w:tcW w:w="6080" w:type="dxa"/>
            <w:vAlign w:val="bottom"/>
          </w:tcPr>
          <w:p>
            <w:pPr>
              <w:spacing w:after="0"/>
              <w:rPr>
                <w:sz w:val="20"/>
                <w:szCs w:val="20"/>
                <w:color w:val="auto"/>
              </w:rPr>
            </w:pPr>
            <w:r>
              <w:rPr>
                <w:rFonts w:ascii="Arial" w:cs="Arial" w:eastAsia="Arial" w:hAnsi="Arial"/>
                <w:sz w:val="18"/>
                <w:szCs w:val="18"/>
                <w:color w:val="auto"/>
              </w:rPr>
              <w:t>Sales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882,222</w:t>
            </w:r>
          </w:p>
        </w:tc>
        <w:tc>
          <w:tcPr>
            <w:tcW w:w="36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898,178</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6080" w:type="dxa"/>
            <w:vAlign w:val="bottom"/>
          </w:tcPr>
          <w:p>
            <w:pPr>
              <w:spacing w:after="0"/>
              <w:rPr>
                <w:sz w:val="20"/>
                <w:szCs w:val="20"/>
                <w:color w:val="auto"/>
              </w:rPr>
            </w:pPr>
            <w:r>
              <w:rPr>
                <w:rFonts w:ascii="Arial" w:cs="Arial" w:eastAsia="Arial" w:hAnsi="Arial"/>
                <w:sz w:val="18"/>
                <w:szCs w:val="18"/>
                <w:color w:val="auto"/>
              </w:rPr>
              <w:t>Cost of sales</w:t>
            </w:r>
          </w:p>
        </w:tc>
        <w:tc>
          <w:tcPr>
            <w:tcW w:w="2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(632,393)</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(619,940)</w:t>
            </w:r>
          </w:p>
        </w:tc>
        <w:tc>
          <w:tcPr>
            <w:tcW w:w="2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6080" w:type="dxa"/>
            <w:vAlign w:val="bottom"/>
          </w:tcPr>
          <w:p>
            <w:pPr>
              <w:spacing w:after="0"/>
              <w:rPr>
                <w:sz w:val="20"/>
                <w:szCs w:val="20"/>
                <w:color w:val="auto"/>
              </w:rPr>
            </w:pPr>
            <w:r>
              <w:rPr>
                <w:rFonts w:ascii="Arial" w:cs="Arial" w:eastAsia="Arial" w:hAnsi="Arial"/>
                <w:sz w:val="18"/>
                <w:szCs w:val="18"/>
                <w:color w:val="auto"/>
              </w:rPr>
              <w:t>Gross profit</w:t>
            </w: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249,829</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278,238</w:t>
            </w:r>
          </w:p>
        </w:tc>
        <w:tc>
          <w:tcPr>
            <w:tcW w:w="2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608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2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(194,606)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(210,789)</w:t>
            </w: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2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1,806</w:t>
            </w: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608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2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5,109</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2,907</w:t>
            </w:r>
          </w:p>
        </w:tc>
        <w:tc>
          <w:tcPr>
            <w:tcW w:w="2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6080" w:type="dxa"/>
            <w:vAlign w:val="bottom"/>
          </w:tcPr>
          <w:p>
            <w:pPr>
              <w:spacing w:after="0"/>
              <w:rPr>
                <w:sz w:val="20"/>
                <w:szCs w:val="20"/>
                <w:color w:val="auto"/>
              </w:rPr>
            </w:pPr>
            <w:r>
              <w:rPr>
                <w:rFonts w:ascii="Arial" w:cs="Arial" w:eastAsia="Arial" w:hAnsi="Arial"/>
                <w:sz w:val="18"/>
                <w:szCs w:val="18"/>
                <w:color w:val="auto"/>
              </w:rPr>
              <w:t>Operating income</w:t>
            </w: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60,332</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72,162</w:t>
            </w:r>
          </w:p>
        </w:tc>
        <w:tc>
          <w:tcPr>
            <w:tcW w:w="2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608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2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(11,062)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(14,322)</w:t>
            </w: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2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854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465</w:t>
            </w: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6080" w:type="dxa"/>
            <w:vAlign w:val="bottom"/>
          </w:tcPr>
          <w:p>
            <w:pPr>
              <w:ind w:left="220"/>
              <w:spacing w:after="0"/>
              <w:rPr>
                <w:sz w:val="20"/>
                <w:szCs w:val="20"/>
                <w:color w:val="auto"/>
              </w:rPr>
            </w:pPr>
            <w:r>
              <w:rPr>
                <w:rFonts w:ascii="Arial" w:cs="Arial" w:eastAsia="Arial" w:hAnsi="Arial"/>
                <w:sz w:val="18"/>
                <w:szCs w:val="18"/>
                <w:color w:val="auto"/>
              </w:rPr>
              <w:t>Other income (expense), net</w:t>
            </w:r>
          </w:p>
        </w:tc>
        <w:tc>
          <w:tcPr>
            <w:tcW w:w="2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7,589</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(7,850)</w:t>
            </w:r>
          </w:p>
        </w:tc>
        <w:tc>
          <w:tcPr>
            <w:tcW w:w="2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608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57,713</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50,455</w:t>
            </w:r>
          </w:p>
        </w:tc>
        <w:tc>
          <w:tcPr>
            <w:tcW w:w="2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60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(11,618)</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(2,711)</w:t>
            </w:r>
          </w:p>
        </w:tc>
        <w:tc>
          <w:tcPr>
            <w:tcW w:w="2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6080" w:type="dxa"/>
            <w:vAlign w:val="bottom"/>
          </w:tcPr>
          <w:p>
            <w:pPr>
              <w:spacing w:after="0"/>
              <w:rPr>
                <w:sz w:val="20"/>
                <w:szCs w:val="20"/>
                <w:color w:val="auto"/>
              </w:rPr>
            </w:pPr>
            <w:r>
              <w:rPr>
                <w:rFonts w:ascii="Arial" w:cs="Arial" w:eastAsia="Arial" w:hAnsi="Arial"/>
                <w:sz w:val="18"/>
                <w:szCs w:val="18"/>
                <w:color w:val="auto"/>
              </w:rPr>
              <w:t>Net earnings, including noncontrolling interests</w:t>
            </w: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46,095</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47,744</w:t>
            </w:r>
          </w:p>
        </w:tc>
        <w:tc>
          <w:tcPr>
            <w:tcW w:w="2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6080" w:type="dxa"/>
            <w:vAlign w:val="bottom"/>
          </w:tcPr>
          <w:p>
            <w:pPr>
              <w:ind w:left="420"/>
              <w:spacing w:after="0"/>
              <w:rPr>
                <w:sz w:val="20"/>
                <w:szCs w:val="20"/>
                <w:color w:val="auto"/>
              </w:rPr>
            </w:pPr>
            <w:r>
              <w:rPr>
                <w:rFonts w:ascii="Arial" w:cs="Arial" w:eastAsia="Arial" w:hAnsi="Arial"/>
                <w:sz w:val="18"/>
                <w:szCs w:val="18"/>
                <w:color w:val="auto"/>
              </w:rPr>
              <w:t>Less: Net earnings attributable to noncontrolling interests</w:t>
            </w:r>
          </w:p>
        </w:tc>
        <w:tc>
          <w:tcPr>
            <w:tcW w:w="24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(1,318)</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(2,390)</w:t>
            </w:r>
          </w:p>
        </w:tc>
        <w:tc>
          <w:tcPr>
            <w:tcW w:w="28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6080" w:type="dxa"/>
            <w:vAlign w:val="bottom"/>
          </w:tcPr>
          <w:p>
            <w:pPr>
              <w:spacing w:after="0"/>
              <w:rPr>
                <w:sz w:val="20"/>
                <w:szCs w:val="20"/>
                <w:color w:val="auto"/>
              </w:rPr>
            </w:pPr>
            <w:r>
              <w:rPr>
                <w:rFonts w:ascii="Arial" w:cs="Arial" w:eastAsia="Arial" w:hAnsi="Arial"/>
                <w:sz w:val="18"/>
                <w:szCs w:val="18"/>
                <w:color w:val="auto"/>
              </w:rPr>
              <w:t>Net earnings attributable to Flowserve Corporation</w:t>
            </w: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44,777</w:t>
            </w:r>
          </w:p>
        </w:tc>
        <w:tc>
          <w:tcPr>
            <w:tcW w:w="100" w:type="dxa"/>
            <w:vAlign w:val="bottom"/>
          </w:tcPr>
          <w:p>
            <w:pPr>
              <w:spacing w:after="0"/>
              <w:rPr>
                <w:sz w:val="20"/>
                <w:szCs w:val="20"/>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45,354</w:t>
            </w:r>
          </w:p>
        </w:tc>
        <w:tc>
          <w:tcPr>
            <w:tcW w:w="28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080" w:type="dxa"/>
            <w:vAlign w:val="bottom"/>
            <w:vMerge w:val="restart"/>
          </w:tcPr>
          <w:p>
            <w:pPr>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608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0.34</w:t>
            </w:r>
          </w:p>
        </w:tc>
        <w:tc>
          <w:tcPr>
            <w:tcW w:w="36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0.35</w:t>
            </w: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Diluted</w:t>
            </w:r>
          </w:p>
        </w:tc>
        <w:tc>
          <w:tcPr>
            <w:tcW w:w="2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0.34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0.35</w:t>
            </w: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6"/>
        </w:trPr>
        <w:tc>
          <w:tcPr>
            <w:tcW w:w="6080" w:type="dxa"/>
            <w:vAlign w:val="bottom"/>
          </w:tcPr>
          <w:p>
            <w:pPr>
              <w:ind w:left="220"/>
              <w:spacing w:after="0"/>
              <w:rPr>
                <w:sz w:val="20"/>
                <w:szCs w:val="20"/>
                <w:color w:val="auto"/>
              </w:rPr>
            </w:pPr>
            <w:r>
              <w:rPr>
                <w:rFonts w:ascii="Arial" w:cs="Arial" w:eastAsia="Arial" w:hAnsi="Arial"/>
                <w:sz w:val="18"/>
                <w:szCs w:val="18"/>
                <w:color w:val="auto"/>
              </w:rPr>
              <w:t>Weighted average shares - basic</w:t>
            </w:r>
          </w:p>
        </w:tc>
        <w:tc>
          <w:tcPr>
            <w:tcW w:w="24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130,666</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130,305</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Weighted average shares - diluted</w:t>
            </w:r>
          </w:p>
        </w:tc>
        <w:tc>
          <w:tcPr>
            <w:tcW w:w="2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131,245</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130,804</w:t>
            </w:r>
          </w:p>
        </w:tc>
        <w:tc>
          <w:tcPr>
            <w:tcW w:w="2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608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28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34" w:right="3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0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3920" w:type="dxa"/>
            <w:vAlign w:val="bottom"/>
            <w:tcBorders>
              <w:bottom w:val="single" w:sz="8" w:color="auto"/>
            </w:tcBorders>
            <w:gridSpan w:val="8"/>
          </w:tcPr>
          <w:p>
            <w:pPr>
              <w:jc w:val="right"/>
              <w:ind w:right="130"/>
              <w:spacing w:after="0"/>
              <w:rPr>
                <w:sz w:val="20"/>
                <w:szCs w:val="20"/>
                <w:color w:val="auto"/>
              </w:rPr>
            </w:pPr>
            <w:r>
              <w:rPr>
                <w:rFonts w:ascii="Arial" w:cs="Arial" w:eastAsia="Arial" w:hAnsi="Arial"/>
                <w:sz w:val="18"/>
                <w:szCs w:val="18"/>
                <w:b w:val="1"/>
                <w:bCs w:val="1"/>
                <w:color w:val="auto"/>
              </w:rPr>
              <w:t>Three Months Ended June 30, 2022</w:t>
            </w:r>
          </w:p>
        </w:tc>
        <w:tc>
          <w:tcPr>
            <w:tcW w:w="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89"/>
              </w:rPr>
              <w:t>As Reported (a)</w:t>
            </w:r>
          </w:p>
        </w:tc>
        <w:tc>
          <w:tcPr>
            <w:tcW w:w="160" w:type="dxa"/>
            <w:vAlign w:val="bottom"/>
          </w:tcPr>
          <w:p>
            <w:pPr>
              <w:spacing w:after="0"/>
              <w:rPr>
                <w:sz w:val="21"/>
                <w:szCs w:val="21"/>
                <w:color w:val="auto"/>
              </w:rPr>
            </w:pP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0"/>
              </w:rPr>
              <w:t>Realignment (1)</w:t>
            </w:r>
          </w:p>
        </w:tc>
        <w:tc>
          <w:tcPr>
            <w:tcW w:w="300" w:type="dxa"/>
            <w:vAlign w:val="bottom"/>
          </w:tcPr>
          <w:p>
            <w:pPr>
              <w:spacing w:after="0"/>
              <w:rPr>
                <w:sz w:val="21"/>
                <w:szCs w:val="21"/>
                <w:color w:val="auto"/>
              </w:rPr>
            </w:pPr>
          </w:p>
        </w:tc>
        <w:tc>
          <w:tcPr>
            <w:tcW w:w="96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b w:val="1"/>
                <w:bCs w:val="1"/>
                <w:color w:val="auto"/>
                <w:w w:val="91"/>
              </w:rPr>
              <w:t>Other Items</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96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89"/>
              </w:rPr>
              <w:t>As Adjusted</w:t>
            </w:r>
          </w:p>
        </w:tc>
      </w:tr>
      <w:tr>
        <w:trPr>
          <w:trHeight w:val="466"/>
        </w:trPr>
        <w:tc>
          <w:tcPr>
            <w:tcW w:w="6080" w:type="dxa"/>
            <w:vAlign w:val="bottom"/>
          </w:tcPr>
          <w:p>
            <w:pPr>
              <w:spacing w:after="0"/>
              <w:rPr>
                <w:sz w:val="20"/>
                <w:szCs w:val="20"/>
                <w:color w:val="auto"/>
              </w:rPr>
            </w:pPr>
            <w:r>
              <w:rPr>
                <w:rFonts w:ascii="Arial" w:cs="Arial" w:eastAsia="Arial" w:hAnsi="Arial"/>
                <w:sz w:val="18"/>
                <w:szCs w:val="18"/>
                <w:color w:val="auto"/>
              </w:rPr>
              <w:t>Sales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882,222</w:t>
            </w:r>
          </w:p>
        </w:tc>
        <w:tc>
          <w:tcPr>
            <w:tcW w:w="4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4"/>
                <w:szCs w:val="24"/>
                <w:color w:val="auto"/>
              </w:rPr>
            </w:pPr>
          </w:p>
        </w:tc>
        <w:tc>
          <w:tcPr>
            <w:tcW w:w="160" w:type="dxa"/>
            <w:vAlign w:val="bottom"/>
            <w:gridSpan w:val="2"/>
          </w:tcPr>
          <w:p>
            <w:pPr>
              <w:ind w:left="4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882,222</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Gross profit</w:t>
            </w:r>
          </w:p>
        </w:tc>
        <w:tc>
          <w:tcPr>
            <w:tcW w:w="240" w:type="dxa"/>
            <w:vAlign w:val="bottom"/>
          </w:tcPr>
          <w:p>
            <w:pPr>
              <w:spacing w:after="0"/>
              <w:rPr>
                <w:sz w:val="21"/>
                <w:szCs w:val="21"/>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249,829</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(467)</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250,296</w:t>
            </w:r>
          </w:p>
        </w:tc>
      </w:tr>
      <w:tr>
        <w:trPr>
          <w:trHeight w:val="243"/>
        </w:trPr>
        <w:tc>
          <w:tcPr>
            <w:tcW w:w="6080" w:type="dxa"/>
            <w:vAlign w:val="bottom"/>
          </w:tcPr>
          <w:p>
            <w:pPr>
              <w:ind w:left="620"/>
              <w:spacing w:after="0"/>
              <w:rPr>
                <w:sz w:val="20"/>
                <w:szCs w:val="20"/>
                <w:color w:val="auto"/>
              </w:rPr>
            </w:pPr>
            <w:r>
              <w:rPr>
                <w:rFonts w:ascii="Arial" w:cs="Arial" w:eastAsia="Arial" w:hAnsi="Arial"/>
                <w:sz w:val="18"/>
                <w:szCs w:val="18"/>
                <w:i w:val="1"/>
                <w:iCs w:val="1"/>
                <w:color w:val="auto"/>
              </w:rPr>
              <w:t>Gross margin</w:t>
            </w:r>
          </w:p>
        </w:tc>
        <w:tc>
          <w:tcPr>
            <w:tcW w:w="2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28.3%</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28.4%</w:t>
            </w:r>
          </w:p>
        </w:tc>
      </w:tr>
      <w:tr>
        <w:trPr>
          <w:trHeight w:val="486"/>
        </w:trPr>
        <w:tc>
          <w:tcPr>
            <w:tcW w:w="608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240" w:type="dxa"/>
            <w:vAlign w:val="bottom"/>
          </w:tcPr>
          <w:p>
            <w:pPr>
              <w:spacing w:after="0"/>
              <w:rPr>
                <w:sz w:val="24"/>
                <w:szCs w:val="24"/>
                <w:color w:val="auto"/>
              </w:rPr>
            </w:pPr>
          </w:p>
        </w:tc>
        <w:tc>
          <w:tcPr>
            <w:tcW w:w="1000" w:type="dxa"/>
            <w:vAlign w:val="bottom"/>
          </w:tcPr>
          <w:p>
            <w:pPr>
              <w:jc w:val="right"/>
              <w:ind w:right="70"/>
              <w:spacing w:after="0"/>
              <w:rPr>
                <w:sz w:val="20"/>
                <w:szCs w:val="20"/>
                <w:color w:val="auto"/>
              </w:rPr>
            </w:pPr>
            <w:r>
              <w:rPr>
                <w:rFonts w:ascii="Arial" w:cs="Arial" w:eastAsia="Arial" w:hAnsi="Arial"/>
                <w:sz w:val="18"/>
                <w:szCs w:val="18"/>
                <w:color w:val="auto"/>
              </w:rPr>
              <w:t>(194,606)</w:t>
            </w: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(62)</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(3,036)</w:t>
            </w:r>
          </w:p>
        </w:tc>
        <w:tc>
          <w:tcPr>
            <w:tcW w:w="260" w:type="dxa"/>
            <w:vAlign w:val="bottom"/>
          </w:tcPr>
          <w:p>
            <w:pPr>
              <w:jc w:val="right"/>
              <w:spacing w:after="0"/>
              <w:rPr>
                <w:sz w:val="20"/>
                <w:szCs w:val="20"/>
                <w:color w:val="auto"/>
              </w:rPr>
            </w:pPr>
            <w:r>
              <w:rPr>
                <w:rFonts w:ascii="Arial" w:cs="Arial" w:eastAsia="Arial" w:hAnsi="Arial"/>
                <w:sz w:val="18"/>
                <w:szCs w:val="18"/>
                <w:color w:val="auto"/>
                <w:w w:val="90"/>
              </w:rPr>
              <w:t>(3)</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w w:val="90"/>
              </w:rPr>
              <w:t>(191,508)</w:t>
            </w:r>
          </w:p>
        </w:tc>
      </w:tr>
      <w:tr>
        <w:trPr>
          <w:trHeight w:val="256"/>
        </w:trPr>
        <w:tc>
          <w:tcPr>
            <w:tcW w:w="608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5,109</w:t>
            </w:r>
          </w:p>
        </w:tc>
        <w:tc>
          <w:tcPr>
            <w:tcW w:w="16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5,109</w:t>
            </w:r>
          </w:p>
        </w:tc>
      </w:tr>
      <w:tr>
        <w:trPr>
          <w:trHeight w:val="466"/>
        </w:trPr>
        <w:tc>
          <w:tcPr>
            <w:tcW w:w="6080" w:type="dxa"/>
            <w:vAlign w:val="bottom"/>
          </w:tcPr>
          <w:p>
            <w:pPr>
              <w:spacing w:after="0"/>
              <w:rPr>
                <w:sz w:val="20"/>
                <w:szCs w:val="20"/>
                <w:color w:val="auto"/>
              </w:rPr>
            </w:pPr>
            <w:r>
              <w:rPr>
                <w:rFonts w:ascii="Arial" w:cs="Arial" w:eastAsia="Arial" w:hAnsi="Arial"/>
                <w:sz w:val="18"/>
                <w:szCs w:val="18"/>
                <w:color w:val="auto"/>
              </w:rPr>
              <w:t>Operating income</w:t>
            </w:r>
          </w:p>
        </w:tc>
        <w:tc>
          <w:tcPr>
            <w:tcW w:w="240" w:type="dxa"/>
            <w:vAlign w:val="bottom"/>
          </w:tcPr>
          <w:p>
            <w:pPr>
              <w:spacing w:after="0"/>
              <w:rPr>
                <w:sz w:val="24"/>
                <w:szCs w:val="24"/>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60,332</w:t>
            </w: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(529)</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(3,036)</w:t>
            </w: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63,897</w:t>
            </w:r>
          </w:p>
        </w:tc>
      </w:tr>
      <w:tr>
        <w:trPr>
          <w:trHeight w:val="243"/>
        </w:trPr>
        <w:tc>
          <w:tcPr>
            <w:tcW w:w="6080" w:type="dxa"/>
            <w:vAlign w:val="bottom"/>
          </w:tcPr>
          <w:p>
            <w:pPr>
              <w:ind w:left="620"/>
              <w:spacing w:after="0"/>
              <w:rPr>
                <w:sz w:val="20"/>
                <w:szCs w:val="20"/>
                <w:color w:val="auto"/>
              </w:rPr>
            </w:pPr>
            <w:r>
              <w:rPr>
                <w:rFonts w:ascii="Arial" w:cs="Arial" w:eastAsia="Arial" w:hAnsi="Arial"/>
                <w:sz w:val="18"/>
                <w:szCs w:val="18"/>
                <w:i w:val="1"/>
                <w:iCs w:val="1"/>
                <w:color w:val="auto"/>
              </w:rPr>
              <w:t>Operating income as a percentage of sales</w:t>
            </w:r>
          </w:p>
        </w:tc>
        <w:tc>
          <w:tcPr>
            <w:tcW w:w="2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6.8%</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7.2%</w:t>
            </w:r>
          </w:p>
        </w:tc>
      </w:tr>
      <w:tr>
        <w:trPr>
          <w:trHeight w:val="500"/>
        </w:trPr>
        <w:tc>
          <w:tcPr>
            <w:tcW w:w="608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2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(2,619)</w:t>
            </w:r>
          </w:p>
        </w:tc>
        <w:tc>
          <w:tcPr>
            <w:tcW w:w="16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10,112</w:t>
            </w:r>
          </w:p>
        </w:tc>
        <w:tc>
          <w:tcPr>
            <w:tcW w:w="26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4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(12,731)</w:t>
            </w:r>
          </w:p>
        </w:tc>
      </w:tr>
      <w:tr>
        <w:trPr>
          <w:trHeight w:val="466"/>
        </w:trPr>
        <w:tc>
          <w:tcPr>
            <w:tcW w:w="608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240" w:type="dxa"/>
            <w:vAlign w:val="bottom"/>
          </w:tcPr>
          <w:p>
            <w:pPr>
              <w:spacing w:after="0"/>
              <w:rPr>
                <w:sz w:val="24"/>
                <w:szCs w:val="24"/>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57,713</w:t>
            </w: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(529)</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7,076</w:t>
            </w: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51,166</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40" w:type="dxa"/>
            <w:vAlign w:val="bottom"/>
          </w:tcPr>
          <w:p>
            <w:pPr>
              <w:spacing w:after="0"/>
              <w:rPr>
                <w:sz w:val="21"/>
                <w:szCs w:val="21"/>
                <w:color w:val="auto"/>
              </w:rPr>
            </w:pPr>
          </w:p>
        </w:tc>
        <w:tc>
          <w:tcPr>
            <w:tcW w:w="1000" w:type="dxa"/>
            <w:vAlign w:val="bottom"/>
          </w:tcPr>
          <w:p>
            <w:pPr>
              <w:jc w:val="right"/>
              <w:ind w:right="70"/>
              <w:spacing w:after="0"/>
              <w:rPr>
                <w:sz w:val="20"/>
                <w:szCs w:val="20"/>
                <w:color w:val="auto"/>
              </w:rPr>
            </w:pPr>
            <w:r>
              <w:rPr>
                <w:rFonts w:ascii="Arial" w:cs="Arial" w:eastAsia="Arial" w:hAnsi="Arial"/>
                <w:sz w:val="18"/>
                <w:szCs w:val="18"/>
                <w:color w:val="auto"/>
              </w:rPr>
              <w:t>(11,618)</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101</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(2)</w:t>
            </w:r>
          </w:p>
        </w:tc>
        <w:tc>
          <w:tcPr>
            <w:tcW w:w="140" w:type="dxa"/>
            <w:vAlign w:val="bottom"/>
          </w:tcPr>
          <w:p>
            <w:pPr>
              <w:spacing w:after="0"/>
              <w:rPr>
                <w:sz w:val="21"/>
                <w:szCs w:val="21"/>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(1,335)</w:t>
            </w:r>
          </w:p>
        </w:tc>
        <w:tc>
          <w:tcPr>
            <w:tcW w:w="260" w:type="dxa"/>
            <w:vAlign w:val="bottom"/>
          </w:tcPr>
          <w:p>
            <w:pPr>
              <w:jc w:val="right"/>
              <w:spacing w:after="0"/>
              <w:rPr>
                <w:sz w:val="20"/>
                <w:szCs w:val="20"/>
                <w:color w:val="auto"/>
              </w:rPr>
            </w:pPr>
            <w:r>
              <w:rPr>
                <w:rFonts w:ascii="Arial" w:cs="Arial" w:eastAsia="Arial" w:hAnsi="Arial"/>
                <w:sz w:val="18"/>
                <w:szCs w:val="18"/>
                <w:color w:val="auto"/>
                <w:w w:val="90"/>
              </w:rPr>
              <w:t>(5)</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(10,384)</w:t>
            </w:r>
          </w:p>
        </w:tc>
      </w:tr>
      <w:tr>
        <w:trPr>
          <w:trHeight w:val="243"/>
        </w:trPr>
        <w:tc>
          <w:tcPr>
            <w:tcW w:w="6080" w:type="dxa"/>
            <w:vAlign w:val="bottom"/>
          </w:tcPr>
          <w:p>
            <w:pPr>
              <w:ind w:left="620"/>
              <w:spacing w:after="0"/>
              <w:rPr>
                <w:sz w:val="20"/>
                <w:szCs w:val="20"/>
                <w:color w:val="auto"/>
              </w:rPr>
            </w:pPr>
            <w:r>
              <w:rPr>
                <w:rFonts w:ascii="Arial" w:cs="Arial" w:eastAsia="Arial" w:hAnsi="Arial"/>
                <w:sz w:val="18"/>
                <w:szCs w:val="18"/>
                <w:i w:val="1"/>
                <w:iCs w:val="1"/>
                <w:color w:val="auto"/>
              </w:rPr>
              <w:t>Tax Rate</w:t>
            </w:r>
          </w:p>
        </w:tc>
        <w:tc>
          <w:tcPr>
            <w:tcW w:w="2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20.1%</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i w:val="1"/>
                <w:iCs w:val="1"/>
                <w:color w:val="auto"/>
              </w:rPr>
              <w:t>19.1%</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i w:val="1"/>
                <w:iCs w:val="1"/>
                <w:color w:val="auto"/>
              </w:rPr>
              <w:t>18.9%</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20.3%</w:t>
            </w:r>
          </w:p>
        </w:tc>
      </w:tr>
      <w:tr>
        <w:trPr>
          <w:trHeight w:val="486"/>
        </w:trPr>
        <w:tc>
          <w:tcPr>
            <w:tcW w:w="608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240" w:type="dxa"/>
            <w:vAlign w:val="bottom"/>
          </w:tcPr>
          <w:p>
            <w:pPr>
              <w:jc w:val="right"/>
              <w:ind w:right="30"/>
              <w:spacing w:after="0"/>
              <w:rPr>
                <w:sz w:val="20"/>
                <w:szCs w:val="20"/>
                <w:color w:val="auto"/>
              </w:rPr>
            </w:pPr>
            <w:r>
              <w:rPr>
                <w:rFonts w:ascii="Arial" w:cs="Arial" w:eastAsia="Arial" w:hAnsi="Arial"/>
                <w:sz w:val="18"/>
                <w:szCs w:val="18"/>
                <w:b w:val="1"/>
                <w:bCs w:val="1"/>
                <w:color w:val="auto"/>
                <w:w w:val="99"/>
              </w:rPr>
              <w:t>$</w:t>
            </w:r>
          </w:p>
        </w:tc>
        <w:tc>
          <w:tcPr>
            <w:tcW w:w="1000" w:type="dxa"/>
            <w:vAlign w:val="bottom"/>
          </w:tcPr>
          <w:p>
            <w:pPr>
              <w:jc w:val="right"/>
              <w:ind w:right="130"/>
              <w:spacing w:after="0"/>
              <w:rPr>
                <w:sz w:val="20"/>
                <w:szCs w:val="20"/>
                <w:color w:val="auto"/>
              </w:rPr>
            </w:pPr>
            <w:r>
              <w:rPr>
                <w:rFonts w:ascii="Arial" w:cs="Arial" w:eastAsia="Arial" w:hAnsi="Arial"/>
                <w:sz w:val="18"/>
                <w:szCs w:val="18"/>
                <w:b w:val="1"/>
                <w:bCs w:val="1"/>
                <w:color w:val="auto"/>
              </w:rPr>
              <w:t>44,777</w:t>
            </w:r>
          </w:p>
        </w:tc>
        <w:tc>
          <w:tcPr>
            <w:tcW w:w="44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ind w:right="90"/>
              <w:spacing w:after="0"/>
              <w:rPr>
                <w:sz w:val="20"/>
                <w:szCs w:val="20"/>
                <w:color w:val="auto"/>
              </w:rPr>
            </w:pPr>
            <w:r>
              <w:rPr>
                <w:rFonts w:ascii="Arial" w:cs="Arial" w:eastAsia="Arial" w:hAnsi="Arial"/>
                <w:sz w:val="18"/>
                <w:szCs w:val="18"/>
                <w:b w:val="1"/>
                <w:bCs w:val="1"/>
                <w:color w:val="auto"/>
              </w:rPr>
              <w:t>(428)</w:t>
            </w:r>
          </w:p>
        </w:tc>
        <w:tc>
          <w:tcPr>
            <w:tcW w:w="30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b w:val="1"/>
                <w:bCs w:val="1"/>
                <w:color w:val="auto"/>
                <w:w w:val="99"/>
              </w:rPr>
              <w:t>$</w:t>
            </w:r>
          </w:p>
        </w:tc>
        <w:tc>
          <w:tcPr>
            <w:tcW w:w="820" w:type="dxa"/>
            <w:vAlign w:val="bottom"/>
          </w:tcPr>
          <w:p>
            <w:pPr>
              <w:jc w:val="right"/>
              <w:ind w:right="90"/>
              <w:spacing w:after="0"/>
              <w:rPr>
                <w:sz w:val="20"/>
                <w:szCs w:val="20"/>
                <w:color w:val="auto"/>
              </w:rPr>
            </w:pPr>
            <w:r>
              <w:rPr>
                <w:rFonts w:ascii="Arial" w:cs="Arial" w:eastAsia="Arial" w:hAnsi="Arial"/>
                <w:sz w:val="18"/>
                <w:szCs w:val="18"/>
                <w:b w:val="1"/>
                <w:bCs w:val="1"/>
                <w:color w:val="auto"/>
              </w:rPr>
              <w:t>5,741</w:t>
            </w:r>
          </w:p>
        </w:tc>
        <w:tc>
          <w:tcPr>
            <w:tcW w:w="260" w:type="dxa"/>
            <w:vAlign w:val="bottom"/>
          </w:tcPr>
          <w:p>
            <w:pPr>
              <w:spacing w:after="0"/>
              <w:rPr>
                <w:sz w:val="24"/>
                <w:szCs w:val="24"/>
                <w:color w:val="auto"/>
              </w:rPr>
            </w:pPr>
          </w:p>
        </w:tc>
        <w:tc>
          <w:tcPr>
            <w:tcW w:w="160" w:type="dxa"/>
            <w:vAlign w:val="bottom"/>
            <w:gridSpan w:val="2"/>
          </w:tcPr>
          <w:p>
            <w:pPr>
              <w:ind w:left="40"/>
              <w:spacing w:after="0"/>
              <w:rPr>
                <w:sz w:val="20"/>
                <w:szCs w:val="20"/>
                <w:color w:val="auto"/>
              </w:rPr>
            </w:pPr>
            <w:r>
              <w:rPr>
                <w:rFonts w:ascii="Arial" w:cs="Arial" w:eastAsia="Arial" w:hAnsi="Arial"/>
                <w:sz w:val="18"/>
                <w:szCs w:val="18"/>
                <w:b w:val="1"/>
                <w:bCs w:val="1"/>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b w:val="1"/>
                <w:bCs w:val="1"/>
                <w:color w:val="auto"/>
              </w:rPr>
              <w:t>39,464</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0.34</w:t>
            </w:r>
          </w:p>
        </w:tc>
        <w:tc>
          <w:tcPr>
            <w:tcW w:w="4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0.04</w:t>
            </w:r>
          </w:p>
        </w:tc>
        <w:tc>
          <w:tcPr>
            <w:tcW w:w="260" w:type="dxa"/>
            <w:vAlign w:val="bottom"/>
          </w:tcPr>
          <w:p>
            <w:pPr>
              <w:spacing w:after="0"/>
              <w:rPr>
                <w:sz w:val="21"/>
                <w:szCs w:val="21"/>
                <w:color w:val="auto"/>
              </w:rPr>
            </w:pPr>
          </w:p>
        </w:tc>
        <w:tc>
          <w:tcPr>
            <w:tcW w:w="160" w:type="dxa"/>
            <w:vAlign w:val="bottom"/>
            <w:gridSpan w:val="2"/>
          </w:tcPr>
          <w:p>
            <w:pPr>
              <w:ind w:left="4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0.30</w:t>
            </w: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Diluted</w:t>
            </w:r>
          </w:p>
        </w:tc>
        <w:tc>
          <w:tcPr>
            <w:tcW w:w="240" w:type="dxa"/>
            <w:vAlign w:val="bottom"/>
          </w:tcPr>
          <w:p>
            <w:pPr>
              <w:spacing w:after="0"/>
              <w:rPr>
                <w:sz w:val="21"/>
                <w:szCs w:val="21"/>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0.34</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0.04</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0.30</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240" w:type="dxa"/>
            <w:vAlign w:val="bottom"/>
          </w:tcPr>
          <w:p>
            <w:pPr>
              <w:spacing w:after="0"/>
              <w:rPr>
                <w:sz w:val="24"/>
                <w:szCs w:val="24"/>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130,666</w:t>
            </w: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130,666</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130,666</w:t>
            </w: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130,666</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240" w:type="dxa"/>
            <w:vAlign w:val="bottom"/>
          </w:tcPr>
          <w:p>
            <w:pPr>
              <w:spacing w:after="0"/>
              <w:rPr>
                <w:sz w:val="21"/>
                <w:szCs w:val="21"/>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131,245</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131,245</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131,245</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131,245</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ind w:left="22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realignment adjustments incurred as a result of realignment programs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discrete asset write-down</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78"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08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3920" w:type="dxa"/>
            <w:vAlign w:val="bottom"/>
            <w:tcBorders>
              <w:bottom w:val="single" w:sz="8" w:color="auto"/>
            </w:tcBorders>
            <w:gridSpan w:val="8"/>
          </w:tcPr>
          <w:p>
            <w:pPr>
              <w:jc w:val="right"/>
              <w:ind w:right="130"/>
              <w:spacing w:after="0"/>
              <w:rPr>
                <w:sz w:val="20"/>
                <w:szCs w:val="20"/>
                <w:color w:val="auto"/>
              </w:rPr>
            </w:pPr>
            <w:r>
              <w:rPr>
                <w:rFonts w:ascii="Arial" w:cs="Arial" w:eastAsia="Arial" w:hAnsi="Arial"/>
                <w:sz w:val="18"/>
                <w:szCs w:val="18"/>
                <w:b w:val="1"/>
                <w:bCs w:val="1"/>
                <w:color w:val="auto"/>
              </w:rPr>
              <w:t>Three Months Ended June 30, 2021</w:t>
            </w:r>
          </w:p>
        </w:tc>
        <w:tc>
          <w:tcPr>
            <w:tcW w:w="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89"/>
              </w:rPr>
              <w:t>As Reported (a)</w:t>
            </w:r>
          </w:p>
        </w:tc>
        <w:tc>
          <w:tcPr>
            <w:tcW w:w="160" w:type="dxa"/>
            <w:vAlign w:val="bottom"/>
          </w:tcPr>
          <w:p>
            <w:pPr>
              <w:spacing w:after="0"/>
              <w:rPr>
                <w:sz w:val="21"/>
                <w:szCs w:val="21"/>
                <w:color w:val="auto"/>
              </w:rPr>
            </w:pP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0"/>
              </w:rPr>
              <w:t>Realignment (1)</w:t>
            </w:r>
          </w:p>
        </w:tc>
        <w:tc>
          <w:tcPr>
            <w:tcW w:w="300" w:type="dxa"/>
            <w:vAlign w:val="bottom"/>
          </w:tcPr>
          <w:p>
            <w:pPr>
              <w:spacing w:after="0"/>
              <w:rPr>
                <w:sz w:val="21"/>
                <w:szCs w:val="21"/>
                <w:color w:val="auto"/>
              </w:rPr>
            </w:pPr>
          </w:p>
        </w:tc>
        <w:tc>
          <w:tcPr>
            <w:tcW w:w="960" w:type="dxa"/>
            <w:vAlign w:val="bottom"/>
            <w:tcBorders>
              <w:bottom w:val="single" w:sz="8" w:color="auto"/>
            </w:tcBorders>
            <w:gridSpan w:val="2"/>
          </w:tcPr>
          <w:p>
            <w:pPr>
              <w:ind w:left="20"/>
              <w:spacing w:after="0"/>
              <w:rPr>
                <w:sz w:val="20"/>
                <w:szCs w:val="20"/>
                <w:color w:val="auto"/>
              </w:rPr>
            </w:pPr>
            <w:r>
              <w:rPr>
                <w:rFonts w:ascii="Arial" w:cs="Arial" w:eastAsia="Arial" w:hAnsi="Arial"/>
                <w:sz w:val="18"/>
                <w:szCs w:val="18"/>
                <w:b w:val="1"/>
                <w:bCs w:val="1"/>
                <w:color w:val="auto"/>
                <w:w w:val="91"/>
              </w:rPr>
              <w:t>Other Items</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96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89"/>
              </w:rPr>
              <w:t>As Adjusted</w:t>
            </w:r>
          </w:p>
        </w:tc>
      </w:tr>
      <w:tr>
        <w:trPr>
          <w:trHeight w:val="466"/>
        </w:trPr>
        <w:tc>
          <w:tcPr>
            <w:tcW w:w="6080" w:type="dxa"/>
            <w:vAlign w:val="bottom"/>
          </w:tcPr>
          <w:p>
            <w:pPr>
              <w:spacing w:after="0"/>
              <w:rPr>
                <w:sz w:val="20"/>
                <w:szCs w:val="20"/>
                <w:color w:val="auto"/>
              </w:rPr>
            </w:pPr>
            <w:r>
              <w:rPr>
                <w:rFonts w:ascii="Arial" w:cs="Arial" w:eastAsia="Arial" w:hAnsi="Arial"/>
                <w:sz w:val="18"/>
                <w:szCs w:val="18"/>
                <w:color w:val="auto"/>
              </w:rPr>
              <w:t>Sales</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898,178</w:t>
            </w:r>
          </w:p>
        </w:tc>
        <w:tc>
          <w:tcPr>
            <w:tcW w:w="4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4"/>
                <w:szCs w:val="24"/>
                <w:color w:val="auto"/>
              </w:rPr>
            </w:pPr>
          </w:p>
        </w:tc>
        <w:tc>
          <w:tcPr>
            <w:tcW w:w="160" w:type="dxa"/>
            <w:vAlign w:val="bottom"/>
            <w:gridSpan w:val="2"/>
          </w:tcPr>
          <w:p>
            <w:pPr>
              <w:ind w:left="4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898,178</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Gross profit</w:t>
            </w:r>
          </w:p>
        </w:tc>
        <w:tc>
          <w:tcPr>
            <w:tcW w:w="240" w:type="dxa"/>
            <w:vAlign w:val="bottom"/>
          </w:tcPr>
          <w:p>
            <w:pPr>
              <w:spacing w:after="0"/>
              <w:rPr>
                <w:sz w:val="21"/>
                <w:szCs w:val="21"/>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278,238</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(3,825)</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282,063</w:t>
            </w:r>
          </w:p>
        </w:tc>
      </w:tr>
      <w:tr>
        <w:trPr>
          <w:trHeight w:val="243"/>
        </w:trPr>
        <w:tc>
          <w:tcPr>
            <w:tcW w:w="6080" w:type="dxa"/>
            <w:vAlign w:val="bottom"/>
          </w:tcPr>
          <w:p>
            <w:pPr>
              <w:ind w:left="620"/>
              <w:spacing w:after="0"/>
              <w:rPr>
                <w:sz w:val="20"/>
                <w:szCs w:val="20"/>
                <w:color w:val="auto"/>
              </w:rPr>
            </w:pPr>
            <w:r>
              <w:rPr>
                <w:rFonts w:ascii="Arial" w:cs="Arial" w:eastAsia="Arial" w:hAnsi="Arial"/>
                <w:sz w:val="18"/>
                <w:szCs w:val="18"/>
                <w:i w:val="1"/>
                <w:iCs w:val="1"/>
                <w:color w:val="auto"/>
              </w:rPr>
              <w:t>Gross margin</w:t>
            </w:r>
          </w:p>
        </w:tc>
        <w:tc>
          <w:tcPr>
            <w:tcW w:w="2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31.0%</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31.4%</w:t>
            </w:r>
          </w:p>
        </w:tc>
      </w:tr>
      <w:tr>
        <w:trPr>
          <w:trHeight w:val="486"/>
        </w:trPr>
        <w:tc>
          <w:tcPr>
            <w:tcW w:w="608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240" w:type="dxa"/>
            <w:vAlign w:val="bottom"/>
          </w:tcPr>
          <w:p>
            <w:pPr>
              <w:spacing w:after="0"/>
              <w:rPr>
                <w:sz w:val="24"/>
                <w:szCs w:val="24"/>
                <w:color w:val="auto"/>
              </w:rPr>
            </w:pPr>
          </w:p>
        </w:tc>
        <w:tc>
          <w:tcPr>
            <w:tcW w:w="1000" w:type="dxa"/>
            <w:vAlign w:val="bottom"/>
          </w:tcPr>
          <w:p>
            <w:pPr>
              <w:jc w:val="right"/>
              <w:ind w:right="70"/>
              <w:spacing w:after="0"/>
              <w:rPr>
                <w:sz w:val="20"/>
                <w:szCs w:val="20"/>
                <w:color w:val="auto"/>
              </w:rPr>
            </w:pPr>
            <w:r>
              <w:rPr>
                <w:rFonts w:ascii="Arial" w:cs="Arial" w:eastAsia="Arial" w:hAnsi="Arial"/>
                <w:sz w:val="18"/>
                <w:szCs w:val="18"/>
                <w:color w:val="auto"/>
              </w:rPr>
              <w:t>(210,789)</w:t>
            </w: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(1,790)</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w w:val="90"/>
              </w:rPr>
              <w:t>(208,999)</w:t>
            </w: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240" w:type="dxa"/>
            <w:vAlign w:val="bottom"/>
          </w:tcPr>
          <w:p>
            <w:pPr>
              <w:spacing w:after="0"/>
              <w:rPr>
                <w:sz w:val="21"/>
                <w:szCs w:val="21"/>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1,806</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1,806</w:t>
            </w:r>
          </w:p>
        </w:tc>
        <w:tc>
          <w:tcPr>
            <w:tcW w:w="260" w:type="dxa"/>
            <w:vAlign w:val="bottom"/>
          </w:tcPr>
          <w:p>
            <w:pPr>
              <w:jc w:val="right"/>
              <w:spacing w:after="0"/>
              <w:rPr>
                <w:sz w:val="20"/>
                <w:szCs w:val="20"/>
                <w:color w:val="auto"/>
              </w:rPr>
            </w:pPr>
            <w:r>
              <w:rPr>
                <w:rFonts w:ascii="Arial" w:cs="Arial" w:eastAsia="Arial" w:hAnsi="Arial"/>
                <w:sz w:val="18"/>
                <w:szCs w:val="18"/>
                <w:color w:val="auto"/>
                <w:w w:val="90"/>
              </w:rPr>
              <w:t>(3)</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w:t>
            </w:r>
          </w:p>
        </w:tc>
      </w:tr>
      <w:tr>
        <w:trPr>
          <w:trHeight w:val="257"/>
        </w:trPr>
        <w:tc>
          <w:tcPr>
            <w:tcW w:w="608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2,907</w:t>
            </w:r>
          </w:p>
        </w:tc>
        <w:tc>
          <w:tcPr>
            <w:tcW w:w="16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2,907</w:t>
            </w:r>
          </w:p>
        </w:tc>
      </w:tr>
      <w:tr>
        <w:trPr>
          <w:trHeight w:val="466"/>
        </w:trPr>
        <w:tc>
          <w:tcPr>
            <w:tcW w:w="6080" w:type="dxa"/>
            <w:vAlign w:val="bottom"/>
          </w:tcPr>
          <w:p>
            <w:pPr>
              <w:spacing w:after="0"/>
              <w:rPr>
                <w:sz w:val="20"/>
                <w:szCs w:val="20"/>
                <w:color w:val="auto"/>
              </w:rPr>
            </w:pPr>
            <w:r>
              <w:rPr>
                <w:rFonts w:ascii="Arial" w:cs="Arial" w:eastAsia="Arial" w:hAnsi="Arial"/>
                <w:sz w:val="18"/>
                <w:szCs w:val="18"/>
                <w:color w:val="auto"/>
              </w:rPr>
              <w:t>Operating income</w:t>
            </w:r>
          </w:p>
        </w:tc>
        <w:tc>
          <w:tcPr>
            <w:tcW w:w="240" w:type="dxa"/>
            <w:vAlign w:val="bottom"/>
          </w:tcPr>
          <w:p>
            <w:pPr>
              <w:spacing w:after="0"/>
              <w:rPr>
                <w:sz w:val="24"/>
                <w:szCs w:val="24"/>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72,162</w:t>
            </w: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(5,615)</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1,806</w:t>
            </w: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75,971</w:t>
            </w:r>
          </w:p>
        </w:tc>
      </w:tr>
      <w:tr>
        <w:trPr>
          <w:trHeight w:val="243"/>
        </w:trPr>
        <w:tc>
          <w:tcPr>
            <w:tcW w:w="6080" w:type="dxa"/>
            <w:vAlign w:val="bottom"/>
          </w:tcPr>
          <w:p>
            <w:pPr>
              <w:ind w:left="620"/>
              <w:spacing w:after="0"/>
              <w:rPr>
                <w:sz w:val="20"/>
                <w:szCs w:val="20"/>
                <w:color w:val="auto"/>
              </w:rPr>
            </w:pPr>
            <w:r>
              <w:rPr>
                <w:rFonts w:ascii="Arial" w:cs="Arial" w:eastAsia="Arial" w:hAnsi="Arial"/>
                <w:sz w:val="18"/>
                <w:szCs w:val="18"/>
                <w:i w:val="1"/>
                <w:iCs w:val="1"/>
                <w:color w:val="auto"/>
              </w:rPr>
              <w:t>Operating income as a percentage of sales</w:t>
            </w:r>
          </w:p>
        </w:tc>
        <w:tc>
          <w:tcPr>
            <w:tcW w:w="2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8.0%</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8.5%</w:t>
            </w:r>
          </w:p>
        </w:tc>
      </w:tr>
      <w:tr>
        <w:trPr>
          <w:trHeight w:val="499"/>
        </w:trPr>
        <w:tc>
          <w:tcPr>
            <w:tcW w:w="608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2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(21,707)</w:t>
            </w:r>
          </w:p>
        </w:tc>
        <w:tc>
          <w:tcPr>
            <w:tcW w:w="16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(4,197)</w:t>
            </w:r>
          </w:p>
        </w:tc>
        <w:tc>
          <w:tcPr>
            <w:tcW w:w="26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4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(17,510)</w:t>
            </w:r>
          </w:p>
        </w:tc>
      </w:tr>
      <w:tr>
        <w:trPr>
          <w:trHeight w:val="466"/>
        </w:trPr>
        <w:tc>
          <w:tcPr>
            <w:tcW w:w="608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240" w:type="dxa"/>
            <w:vAlign w:val="bottom"/>
          </w:tcPr>
          <w:p>
            <w:pPr>
              <w:spacing w:after="0"/>
              <w:rPr>
                <w:sz w:val="24"/>
                <w:szCs w:val="24"/>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50,455</w:t>
            </w: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(5,615)</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(2,391)</w:t>
            </w: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58,461</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40" w:type="dxa"/>
            <w:vAlign w:val="bottom"/>
          </w:tcPr>
          <w:p>
            <w:pPr>
              <w:spacing w:after="0"/>
              <w:rPr>
                <w:sz w:val="21"/>
                <w:szCs w:val="21"/>
                <w:color w:val="auto"/>
              </w:rPr>
            </w:pPr>
          </w:p>
        </w:tc>
        <w:tc>
          <w:tcPr>
            <w:tcW w:w="1000" w:type="dxa"/>
            <w:vAlign w:val="bottom"/>
          </w:tcPr>
          <w:p>
            <w:pPr>
              <w:jc w:val="right"/>
              <w:ind w:right="70"/>
              <w:spacing w:after="0"/>
              <w:rPr>
                <w:sz w:val="20"/>
                <w:szCs w:val="20"/>
                <w:color w:val="auto"/>
              </w:rPr>
            </w:pPr>
            <w:r>
              <w:rPr>
                <w:rFonts w:ascii="Arial" w:cs="Arial" w:eastAsia="Arial" w:hAnsi="Arial"/>
                <w:sz w:val="18"/>
                <w:szCs w:val="18"/>
                <w:color w:val="auto"/>
              </w:rPr>
              <w:t>(2,711)</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4,486</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(2)</w:t>
            </w: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959</w:t>
            </w:r>
          </w:p>
        </w:tc>
        <w:tc>
          <w:tcPr>
            <w:tcW w:w="260" w:type="dxa"/>
            <w:vAlign w:val="bottom"/>
          </w:tcPr>
          <w:p>
            <w:pPr>
              <w:jc w:val="right"/>
              <w:spacing w:after="0"/>
              <w:rPr>
                <w:sz w:val="20"/>
                <w:szCs w:val="20"/>
                <w:color w:val="auto"/>
              </w:rPr>
            </w:pPr>
            <w:r>
              <w:rPr>
                <w:rFonts w:ascii="Arial" w:cs="Arial" w:eastAsia="Arial" w:hAnsi="Arial"/>
                <w:sz w:val="18"/>
                <w:szCs w:val="18"/>
                <w:color w:val="auto"/>
                <w:w w:val="90"/>
              </w:rPr>
              <w:t>(5)</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(8,156)</w:t>
            </w:r>
          </w:p>
        </w:tc>
      </w:tr>
      <w:tr>
        <w:trPr>
          <w:trHeight w:val="243"/>
        </w:trPr>
        <w:tc>
          <w:tcPr>
            <w:tcW w:w="6080" w:type="dxa"/>
            <w:vAlign w:val="bottom"/>
          </w:tcPr>
          <w:p>
            <w:pPr>
              <w:ind w:left="620"/>
              <w:spacing w:after="0"/>
              <w:rPr>
                <w:sz w:val="20"/>
                <w:szCs w:val="20"/>
                <w:color w:val="auto"/>
              </w:rPr>
            </w:pPr>
            <w:r>
              <w:rPr>
                <w:rFonts w:ascii="Arial" w:cs="Arial" w:eastAsia="Arial" w:hAnsi="Arial"/>
                <w:sz w:val="18"/>
                <w:szCs w:val="18"/>
                <w:i w:val="1"/>
                <w:iCs w:val="1"/>
                <w:color w:val="auto"/>
              </w:rPr>
              <w:t>Tax Rate</w:t>
            </w:r>
          </w:p>
        </w:tc>
        <w:tc>
          <w:tcPr>
            <w:tcW w:w="2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5.4%</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i w:val="1"/>
                <w:iCs w:val="1"/>
                <w:color w:val="auto"/>
              </w:rPr>
              <w:t>79.9%</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i w:val="1"/>
                <w:iCs w:val="1"/>
                <w:color w:val="auto"/>
              </w:rPr>
              <w:t>40.1%</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14.0%</w:t>
            </w:r>
          </w:p>
        </w:tc>
      </w:tr>
      <w:tr>
        <w:trPr>
          <w:trHeight w:val="486"/>
        </w:trPr>
        <w:tc>
          <w:tcPr>
            <w:tcW w:w="608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240" w:type="dxa"/>
            <w:vAlign w:val="bottom"/>
          </w:tcPr>
          <w:p>
            <w:pPr>
              <w:jc w:val="right"/>
              <w:ind w:right="30"/>
              <w:spacing w:after="0"/>
              <w:rPr>
                <w:sz w:val="20"/>
                <w:szCs w:val="20"/>
                <w:color w:val="auto"/>
              </w:rPr>
            </w:pPr>
            <w:r>
              <w:rPr>
                <w:rFonts w:ascii="Arial" w:cs="Arial" w:eastAsia="Arial" w:hAnsi="Arial"/>
                <w:sz w:val="18"/>
                <w:szCs w:val="18"/>
                <w:b w:val="1"/>
                <w:bCs w:val="1"/>
                <w:color w:val="auto"/>
                <w:w w:val="99"/>
              </w:rPr>
              <w:t>$</w:t>
            </w:r>
          </w:p>
        </w:tc>
        <w:tc>
          <w:tcPr>
            <w:tcW w:w="1000" w:type="dxa"/>
            <w:vAlign w:val="bottom"/>
          </w:tcPr>
          <w:p>
            <w:pPr>
              <w:jc w:val="right"/>
              <w:ind w:right="130"/>
              <w:spacing w:after="0"/>
              <w:rPr>
                <w:sz w:val="20"/>
                <w:szCs w:val="20"/>
                <w:color w:val="auto"/>
              </w:rPr>
            </w:pPr>
            <w:r>
              <w:rPr>
                <w:rFonts w:ascii="Arial" w:cs="Arial" w:eastAsia="Arial" w:hAnsi="Arial"/>
                <w:sz w:val="18"/>
                <w:szCs w:val="18"/>
                <w:b w:val="1"/>
                <w:bCs w:val="1"/>
                <w:color w:val="auto"/>
              </w:rPr>
              <w:t>45,354</w:t>
            </w:r>
          </w:p>
        </w:tc>
        <w:tc>
          <w:tcPr>
            <w:tcW w:w="44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w:t>
            </w:r>
          </w:p>
        </w:tc>
        <w:tc>
          <w:tcPr>
            <w:tcW w:w="960" w:type="dxa"/>
            <w:vAlign w:val="bottom"/>
          </w:tcPr>
          <w:p>
            <w:pPr>
              <w:jc w:val="right"/>
              <w:ind w:right="90"/>
              <w:spacing w:after="0"/>
              <w:rPr>
                <w:sz w:val="20"/>
                <w:szCs w:val="20"/>
                <w:color w:val="auto"/>
              </w:rPr>
            </w:pPr>
            <w:r>
              <w:rPr>
                <w:rFonts w:ascii="Arial" w:cs="Arial" w:eastAsia="Arial" w:hAnsi="Arial"/>
                <w:sz w:val="18"/>
                <w:szCs w:val="18"/>
                <w:b w:val="1"/>
                <w:bCs w:val="1"/>
                <w:color w:val="auto"/>
              </w:rPr>
              <w:t>(1,129)</w:t>
            </w:r>
          </w:p>
        </w:tc>
        <w:tc>
          <w:tcPr>
            <w:tcW w:w="30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b w:val="1"/>
                <w:bCs w:val="1"/>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b w:val="1"/>
                <w:bCs w:val="1"/>
                <w:color w:val="auto"/>
              </w:rPr>
              <w:t>(1,432)</w:t>
            </w:r>
          </w:p>
        </w:tc>
        <w:tc>
          <w:tcPr>
            <w:tcW w:w="260" w:type="dxa"/>
            <w:vAlign w:val="bottom"/>
          </w:tcPr>
          <w:p>
            <w:pPr>
              <w:spacing w:after="0"/>
              <w:rPr>
                <w:sz w:val="24"/>
                <w:szCs w:val="24"/>
                <w:color w:val="auto"/>
              </w:rPr>
            </w:pPr>
          </w:p>
        </w:tc>
        <w:tc>
          <w:tcPr>
            <w:tcW w:w="160" w:type="dxa"/>
            <w:vAlign w:val="bottom"/>
            <w:gridSpan w:val="2"/>
          </w:tcPr>
          <w:p>
            <w:pPr>
              <w:ind w:left="40"/>
              <w:spacing w:after="0"/>
              <w:rPr>
                <w:sz w:val="20"/>
                <w:szCs w:val="20"/>
                <w:color w:val="auto"/>
              </w:rPr>
            </w:pPr>
            <w:r>
              <w:rPr>
                <w:rFonts w:ascii="Arial" w:cs="Arial" w:eastAsia="Arial" w:hAnsi="Arial"/>
                <w:sz w:val="18"/>
                <w:szCs w:val="18"/>
                <w:b w:val="1"/>
                <w:bCs w:val="1"/>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b w:val="1"/>
                <w:bCs w:val="1"/>
                <w:color w:val="auto"/>
              </w:rPr>
              <w:t>47,915</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Basic</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0.35</w:t>
            </w:r>
          </w:p>
        </w:tc>
        <w:tc>
          <w:tcPr>
            <w:tcW w:w="4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(0.01)</w:t>
            </w:r>
          </w:p>
        </w:tc>
        <w:tc>
          <w:tcPr>
            <w:tcW w:w="30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(0.01)</w:t>
            </w:r>
          </w:p>
        </w:tc>
        <w:tc>
          <w:tcPr>
            <w:tcW w:w="260" w:type="dxa"/>
            <w:vAlign w:val="bottom"/>
          </w:tcPr>
          <w:p>
            <w:pPr>
              <w:spacing w:after="0"/>
              <w:rPr>
                <w:sz w:val="21"/>
                <w:szCs w:val="21"/>
                <w:color w:val="auto"/>
              </w:rPr>
            </w:pPr>
          </w:p>
        </w:tc>
        <w:tc>
          <w:tcPr>
            <w:tcW w:w="160" w:type="dxa"/>
            <w:vAlign w:val="bottom"/>
            <w:gridSpan w:val="2"/>
          </w:tcPr>
          <w:p>
            <w:pPr>
              <w:ind w:left="4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0.37</w:t>
            </w: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Diluted</w:t>
            </w:r>
          </w:p>
        </w:tc>
        <w:tc>
          <w:tcPr>
            <w:tcW w:w="240" w:type="dxa"/>
            <w:vAlign w:val="bottom"/>
          </w:tcPr>
          <w:p>
            <w:pPr>
              <w:spacing w:after="0"/>
              <w:rPr>
                <w:sz w:val="21"/>
                <w:szCs w:val="21"/>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0.35</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90"/>
              <w:spacing w:after="0"/>
              <w:rPr>
                <w:sz w:val="20"/>
                <w:szCs w:val="20"/>
                <w:color w:val="auto"/>
              </w:rPr>
            </w:pPr>
            <w:r>
              <w:rPr>
                <w:rFonts w:ascii="Arial" w:cs="Arial" w:eastAsia="Arial" w:hAnsi="Arial"/>
                <w:sz w:val="18"/>
                <w:szCs w:val="18"/>
                <w:color w:val="auto"/>
              </w:rPr>
              <w:t>(0.01)</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(0.01)</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0.37</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240" w:type="dxa"/>
            <w:vAlign w:val="bottom"/>
          </w:tcPr>
          <w:p>
            <w:pPr>
              <w:spacing w:after="0"/>
              <w:rPr>
                <w:sz w:val="24"/>
                <w:szCs w:val="24"/>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130,305</w:t>
            </w:r>
          </w:p>
        </w:tc>
        <w:tc>
          <w:tcPr>
            <w:tcW w:w="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130,305</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130,305</w:t>
            </w: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130,305</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240" w:type="dxa"/>
            <w:vAlign w:val="bottom"/>
          </w:tcPr>
          <w:p>
            <w:pPr>
              <w:spacing w:after="0"/>
              <w:rPr>
                <w:sz w:val="21"/>
                <w:szCs w:val="21"/>
                <w:color w:val="auto"/>
              </w:rPr>
            </w:pPr>
          </w:p>
        </w:tc>
        <w:tc>
          <w:tcPr>
            <w:tcW w:w="1000" w:type="dxa"/>
            <w:vAlign w:val="bottom"/>
          </w:tcPr>
          <w:p>
            <w:pPr>
              <w:jc w:val="right"/>
              <w:ind w:right="130"/>
              <w:spacing w:after="0"/>
              <w:rPr>
                <w:sz w:val="20"/>
                <w:szCs w:val="20"/>
                <w:color w:val="auto"/>
              </w:rPr>
            </w:pPr>
            <w:r>
              <w:rPr>
                <w:rFonts w:ascii="Arial" w:cs="Arial" w:eastAsia="Arial" w:hAnsi="Arial"/>
                <w:sz w:val="18"/>
                <w:szCs w:val="18"/>
                <w:color w:val="auto"/>
              </w:rPr>
              <w:t>130,804</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ind w:right="150"/>
              <w:spacing w:after="0"/>
              <w:rPr>
                <w:sz w:val="20"/>
                <w:szCs w:val="20"/>
                <w:color w:val="auto"/>
              </w:rPr>
            </w:pPr>
            <w:r>
              <w:rPr>
                <w:rFonts w:ascii="Arial" w:cs="Arial" w:eastAsia="Arial" w:hAnsi="Arial"/>
                <w:sz w:val="18"/>
                <w:szCs w:val="18"/>
                <w:color w:val="auto"/>
              </w:rPr>
              <w:t>130,804</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130,804</w:t>
            </w:r>
          </w:p>
        </w:tc>
        <w:tc>
          <w:tcPr>
            <w:tcW w:w="2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130,804</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ind w:left="22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660" w:hanging="24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Includes tax impact of items above and realignment related tax release</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final settlement gain on sale of business in 2018</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78"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SEGMENT INFORMATION</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3700" w:type="dxa"/>
            <w:vAlign w:val="bottom"/>
          </w:tcPr>
          <w:p>
            <w:pPr>
              <w:spacing w:after="0"/>
              <w:rPr>
                <w:sz w:val="20"/>
                <w:szCs w:val="20"/>
                <w:color w:val="auto"/>
              </w:rPr>
            </w:pPr>
            <w:r>
              <w:rPr>
                <w:rFonts w:ascii="Arial" w:cs="Arial" w:eastAsia="Arial" w:hAnsi="Arial"/>
                <w:sz w:val="18"/>
                <w:szCs w:val="18"/>
                <w:b w:val="1"/>
                <w:bCs w:val="1"/>
                <w:color w:val="auto"/>
              </w:rPr>
              <w:t>FLOWSERVE PUMP DIVISION</w:t>
            </w:r>
          </w:p>
        </w:tc>
        <w:tc>
          <w:tcPr>
            <w:tcW w:w="23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90"/>
              </w:rPr>
              <w:t>Three Months Ended June 30,</w:t>
            </w:r>
          </w:p>
        </w:tc>
      </w:tr>
      <w:tr>
        <w:trPr>
          <w:trHeight w:val="237"/>
        </w:trPr>
        <w:tc>
          <w:tcPr>
            <w:tcW w:w="370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080" w:type="dxa"/>
            <w:vAlign w:val="bottom"/>
          </w:tcPr>
          <w:p>
            <w:pPr>
              <w:jc w:val="right"/>
              <w:ind w:right="330"/>
              <w:spacing w:after="0"/>
              <w:rPr>
                <w:sz w:val="20"/>
                <w:szCs w:val="20"/>
                <w:color w:val="auto"/>
              </w:rPr>
            </w:pPr>
            <w:r>
              <w:rPr>
                <w:rFonts w:ascii="Arial" w:cs="Arial" w:eastAsia="Arial" w:hAnsi="Arial"/>
                <w:sz w:val="18"/>
                <w:szCs w:val="18"/>
                <w:b w:val="1"/>
                <w:bCs w:val="1"/>
                <w:color w:val="auto"/>
              </w:rPr>
              <w:t>2022</w:t>
            </w:r>
          </w:p>
        </w:tc>
        <w:tc>
          <w:tcPr>
            <w:tcW w:w="124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rPr>
              <w:t>2021</w:t>
            </w:r>
          </w:p>
        </w:tc>
      </w:tr>
      <w:tr>
        <w:trPr>
          <w:trHeight w:val="224"/>
        </w:trPr>
        <w:tc>
          <w:tcPr>
            <w:tcW w:w="3700" w:type="dxa"/>
            <w:vAlign w:val="bottom"/>
          </w:tcPr>
          <w:p>
            <w:pPr>
              <w:spacing w:after="0"/>
              <w:rPr>
                <w:sz w:val="20"/>
                <w:szCs w:val="20"/>
                <w:color w:val="auto"/>
              </w:rPr>
            </w:pPr>
            <w:r>
              <w:rPr>
                <w:rFonts w:ascii="Arial" w:cs="Arial" w:eastAsia="Arial" w:hAnsi="Arial"/>
                <w:sz w:val="18"/>
                <w:szCs w:val="18"/>
                <w:color w:val="auto"/>
              </w:rPr>
              <w:t>Bookings</w:t>
            </w:r>
          </w:p>
        </w:tc>
        <w:tc>
          <w:tcPr>
            <w:tcW w:w="10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rPr>
              <w:t>$   717.8</w:t>
            </w:r>
          </w:p>
        </w:tc>
        <w:tc>
          <w:tcPr>
            <w:tcW w:w="120" w:type="dxa"/>
            <w:vAlign w:val="bottom"/>
          </w:tcPr>
          <w:p>
            <w:pPr>
              <w:spacing w:after="0"/>
              <w:rPr>
                <w:sz w:val="19"/>
                <w:szCs w:val="19"/>
                <w:color w:val="auto"/>
              </w:rPr>
            </w:pPr>
          </w:p>
        </w:tc>
        <w:tc>
          <w:tcPr>
            <w:tcW w:w="112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   668.8</w:t>
            </w:r>
          </w:p>
        </w:tc>
      </w:tr>
      <w:tr>
        <w:trPr>
          <w:trHeight w:val="242"/>
        </w:trPr>
        <w:tc>
          <w:tcPr>
            <w:tcW w:w="3700" w:type="dxa"/>
            <w:vAlign w:val="bottom"/>
          </w:tcPr>
          <w:p>
            <w:pPr>
              <w:spacing w:after="0"/>
              <w:rPr>
                <w:sz w:val="20"/>
                <w:szCs w:val="20"/>
                <w:color w:val="auto"/>
              </w:rPr>
            </w:pPr>
            <w:r>
              <w:rPr>
                <w:rFonts w:ascii="Arial" w:cs="Arial" w:eastAsia="Arial" w:hAnsi="Arial"/>
                <w:sz w:val="18"/>
                <w:szCs w:val="18"/>
                <w:color w:val="auto"/>
              </w:rPr>
              <w:t>Sales</w:t>
            </w:r>
          </w:p>
        </w:tc>
        <w:tc>
          <w:tcPr>
            <w:tcW w:w="1080" w:type="dxa"/>
            <w:vAlign w:val="bottom"/>
          </w:tcPr>
          <w:p>
            <w:pPr>
              <w:jc w:val="right"/>
              <w:ind w:right="170"/>
              <w:spacing w:after="0"/>
              <w:rPr>
                <w:sz w:val="20"/>
                <w:szCs w:val="20"/>
                <w:color w:val="auto"/>
              </w:rPr>
            </w:pPr>
            <w:r>
              <w:rPr>
                <w:rFonts w:ascii="Arial" w:cs="Arial" w:eastAsia="Arial" w:hAnsi="Arial"/>
                <w:sz w:val="18"/>
                <w:szCs w:val="18"/>
                <w:color w:val="auto"/>
              </w:rPr>
              <w:t>614.9</w:t>
            </w:r>
          </w:p>
        </w:tc>
        <w:tc>
          <w:tcPr>
            <w:tcW w:w="1240" w:type="dxa"/>
            <w:vAlign w:val="bottom"/>
            <w:gridSpan w:val="2"/>
          </w:tcPr>
          <w:p>
            <w:pPr>
              <w:jc w:val="right"/>
              <w:ind w:right="190"/>
              <w:spacing w:after="0"/>
              <w:rPr>
                <w:sz w:val="20"/>
                <w:szCs w:val="20"/>
                <w:color w:val="auto"/>
              </w:rPr>
            </w:pPr>
            <w:r>
              <w:rPr>
                <w:rFonts w:ascii="Arial" w:cs="Arial" w:eastAsia="Arial" w:hAnsi="Arial"/>
                <w:sz w:val="18"/>
                <w:szCs w:val="18"/>
                <w:color w:val="auto"/>
              </w:rPr>
              <w:t>617.5</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w:t>
            </w:r>
          </w:p>
        </w:tc>
        <w:tc>
          <w:tcPr>
            <w:tcW w:w="1080" w:type="dxa"/>
            <w:vAlign w:val="bottom"/>
          </w:tcPr>
          <w:p>
            <w:pPr>
              <w:jc w:val="right"/>
              <w:ind w:right="170"/>
              <w:spacing w:after="0"/>
              <w:rPr>
                <w:sz w:val="20"/>
                <w:szCs w:val="20"/>
                <w:color w:val="auto"/>
              </w:rPr>
            </w:pPr>
            <w:r>
              <w:rPr>
                <w:rFonts w:ascii="Arial" w:cs="Arial" w:eastAsia="Arial" w:hAnsi="Arial"/>
                <w:sz w:val="18"/>
                <w:szCs w:val="18"/>
                <w:color w:val="auto"/>
              </w:rPr>
              <w:t>184.0</w:t>
            </w:r>
          </w:p>
        </w:tc>
        <w:tc>
          <w:tcPr>
            <w:tcW w:w="1240" w:type="dxa"/>
            <w:vAlign w:val="bottom"/>
            <w:gridSpan w:val="2"/>
          </w:tcPr>
          <w:p>
            <w:pPr>
              <w:jc w:val="right"/>
              <w:ind w:right="190"/>
              <w:spacing w:after="0"/>
              <w:rPr>
                <w:sz w:val="20"/>
                <w:szCs w:val="20"/>
                <w:color w:val="auto"/>
              </w:rPr>
            </w:pPr>
            <w:r>
              <w:rPr>
                <w:rFonts w:ascii="Arial" w:cs="Arial" w:eastAsia="Arial" w:hAnsi="Arial"/>
                <w:sz w:val="18"/>
                <w:szCs w:val="18"/>
                <w:color w:val="auto"/>
              </w:rPr>
              <w:t>196.4</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 margin</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29.9%</w:t>
            </w:r>
          </w:p>
        </w:tc>
        <w:tc>
          <w:tcPr>
            <w:tcW w:w="1240" w:type="dxa"/>
            <w:vAlign w:val="bottom"/>
            <w:gridSpan w:val="2"/>
          </w:tcPr>
          <w:p>
            <w:pPr>
              <w:jc w:val="right"/>
              <w:ind w:right="30"/>
              <w:spacing w:after="0"/>
              <w:rPr>
                <w:sz w:val="20"/>
                <w:szCs w:val="20"/>
                <w:color w:val="auto"/>
              </w:rPr>
            </w:pPr>
            <w:r>
              <w:rPr>
                <w:rFonts w:ascii="Arial" w:cs="Arial" w:eastAsia="Arial" w:hAnsi="Arial"/>
                <w:sz w:val="18"/>
                <w:szCs w:val="18"/>
                <w:color w:val="auto"/>
              </w:rPr>
              <w:t>31.8%</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SG&amp;A</w:t>
            </w:r>
          </w:p>
        </w:tc>
        <w:tc>
          <w:tcPr>
            <w:tcW w:w="1080" w:type="dxa"/>
            <w:vAlign w:val="bottom"/>
          </w:tcPr>
          <w:p>
            <w:pPr>
              <w:jc w:val="right"/>
              <w:ind w:right="170"/>
              <w:spacing w:after="0"/>
              <w:rPr>
                <w:sz w:val="20"/>
                <w:szCs w:val="20"/>
                <w:color w:val="auto"/>
              </w:rPr>
            </w:pPr>
            <w:r>
              <w:rPr>
                <w:rFonts w:ascii="Arial" w:cs="Arial" w:eastAsia="Arial" w:hAnsi="Arial"/>
                <w:sz w:val="18"/>
                <w:szCs w:val="18"/>
                <w:color w:val="auto"/>
              </w:rPr>
              <w:t>131.7</w:t>
            </w:r>
          </w:p>
        </w:tc>
        <w:tc>
          <w:tcPr>
            <w:tcW w:w="1240" w:type="dxa"/>
            <w:vAlign w:val="bottom"/>
            <w:gridSpan w:val="2"/>
          </w:tcPr>
          <w:p>
            <w:pPr>
              <w:jc w:val="right"/>
              <w:ind w:right="190"/>
              <w:spacing w:after="0"/>
              <w:rPr>
                <w:sz w:val="20"/>
                <w:szCs w:val="20"/>
                <w:color w:val="auto"/>
              </w:rPr>
            </w:pPr>
            <w:r>
              <w:rPr>
                <w:rFonts w:ascii="Arial" w:cs="Arial" w:eastAsia="Arial" w:hAnsi="Arial"/>
                <w:sz w:val="18"/>
                <w:szCs w:val="18"/>
                <w:color w:val="auto"/>
              </w:rPr>
              <w:t>133.6</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Gain on sale of business</w:t>
            </w:r>
          </w:p>
        </w:tc>
        <w:tc>
          <w:tcPr>
            <w:tcW w:w="108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90"/>
              <w:spacing w:after="0"/>
              <w:rPr>
                <w:sz w:val="20"/>
                <w:szCs w:val="20"/>
                <w:color w:val="auto"/>
              </w:rPr>
            </w:pPr>
            <w:r>
              <w:rPr>
                <w:rFonts w:ascii="Arial" w:cs="Arial" w:eastAsia="Arial" w:hAnsi="Arial"/>
                <w:sz w:val="18"/>
                <w:szCs w:val="18"/>
                <w:color w:val="auto"/>
              </w:rPr>
              <w:t>1.8</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080" w:type="dxa"/>
            <w:vAlign w:val="bottom"/>
          </w:tcPr>
          <w:p>
            <w:pPr>
              <w:jc w:val="right"/>
              <w:ind w:right="170"/>
              <w:spacing w:after="0"/>
              <w:rPr>
                <w:sz w:val="20"/>
                <w:szCs w:val="20"/>
                <w:color w:val="auto"/>
              </w:rPr>
            </w:pPr>
            <w:r>
              <w:rPr>
                <w:rFonts w:ascii="Arial" w:cs="Arial" w:eastAsia="Arial" w:hAnsi="Arial"/>
                <w:sz w:val="18"/>
                <w:szCs w:val="18"/>
                <w:color w:val="auto"/>
              </w:rPr>
              <w:t>57.3</w:t>
            </w:r>
          </w:p>
        </w:tc>
        <w:tc>
          <w:tcPr>
            <w:tcW w:w="1240" w:type="dxa"/>
            <w:vAlign w:val="bottom"/>
            <w:gridSpan w:val="2"/>
          </w:tcPr>
          <w:p>
            <w:pPr>
              <w:jc w:val="right"/>
              <w:ind w:right="190"/>
              <w:spacing w:after="0"/>
              <w:rPr>
                <w:sz w:val="20"/>
                <w:szCs w:val="20"/>
                <w:color w:val="auto"/>
              </w:rPr>
            </w:pPr>
            <w:r>
              <w:rPr>
                <w:rFonts w:ascii="Arial" w:cs="Arial" w:eastAsia="Arial" w:hAnsi="Arial"/>
                <w:sz w:val="18"/>
                <w:szCs w:val="18"/>
                <w:color w:val="auto"/>
              </w:rPr>
              <w:t>67.8</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w w:val="88"/>
              </w:rPr>
              <w:t>Segment operating income as a percentage of sales</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9.3%</w:t>
            </w:r>
          </w:p>
        </w:tc>
        <w:tc>
          <w:tcPr>
            <w:tcW w:w="1240" w:type="dxa"/>
            <w:vAlign w:val="bottom"/>
            <w:gridSpan w:val="2"/>
          </w:tcPr>
          <w:p>
            <w:pPr>
              <w:jc w:val="right"/>
              <w:ind w:right="30"/>
              <w:spacing w:after="0"/>
              <w:rPr>
                <w:sz w:val="20"/>
                <w:szCs w:val="20"/>
                <w:color w:val="auto"/>
              </w:rPr>
            </w:pPr>
            <w:r>
              <w:rPr>
                <w:rFonts w:ascii="Arial" w:cs="Arial" w:eastAsia="Arial" w:hAnsi="Arial"/>
                <w:sz w:val="18"/>
                <w:szCs w:val="18"/>
                <w:color w:val="auto"/>
              </w:rPr>
              <w:t>11.0%</w:t>
            </w:r>
          </w:p>
        </w:tc>
      </w:tr>
    </w:tbl>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3700" w:type="dxa"/>
            <w:vAlign w:val="bottom"/>
          </w:tcPr>
          <w:p>
            <w:pPr>
              <w:spacing w:after="0"/>
              <w:rPr>
                <w:sz w:val="20"/>
                <w:szCs w:val="20"/>
                <w:color w:val="auto"/>
              </w:rPr>
            </w:pPr>
            <w:r>
              <w:rPr>
                <w:rFonts w:ascii="Arial" w:cs="Arial" w:eastAsia="Arial" w:hAnsi="Arial"/>
                <w:sz w:val="18"/>
                <w:szCs w:val="18"/>
                <w:b w:val="1"/>
                <w:bCs w:val="1"/>
                <w:color w:val="auto"/>
              </w:rPr>
              <w:t>FLOW CONTROL DIVISION</w:t>
            </w:r>
          </w:p>
        </w:tc>
        <w:tc>
          <w:tcPr>
            <w:tcW w:w="23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90"/>
              </w:rPr>
              <w:t>Three Months Ended June 30,</w:t>
            </w:r>
          </w:p>
        </w:tc>
        <w:tc>
          <w:tcPr>
            <w:tcW w:w="5220" w:type="dxa"/>
            <w:vAlign w:val="bottom"/>
          </w:tcPr>
          <w:p>
            <w:pPr>
              <w:spacing w:after="0"/>
              <w:rPr>
                <w:sz w:val="21"/>
                <w:szCs w:val="21"/>
                <w:color w:val="auto"/>
              </w:rPr>
            </w:pPr>
          </w:p>
        </w:tc>
      </w:tr>
      <w:tr>
        <w:trPr>
          <w:trHeight w:val="237"/>
        </w:trPr>
        <w:tc>
          <w:tcPr>
            <w:tcW w:w="370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080" w:type="dxa"/>
            <w:vAlign w:val="bottom"/>
          </w:tcPr>
          <w:p>
            <w:pPr>
              <w:jc w:val="right"/>
              <w:ind w:right="330"/>
              <w:spacing w:after="0"/>
              <w:rPr>
                <w:sz w:val="20"/>
                <w:szCs w:val="20"/>
                <w:color w:val="auto"/>
              </w:rPr>
            </w:pPr>
            <w:r>
              <w:rPr>
                <w:rFonts w:ascii="Arial" w:cs="Arial" w:eastAsia="Arial" w:hAnsi="Arial"/>
                <w:sz w:val="18"/>
                <w:szCs w:val="18"/>
                <w:b w:val="1"/>
                <w:bCs w:val="1"/>
                <w:color w:val="auto"/>
              </w:rPr>
              <w:t>2022</w:t>
            </w:r>
          </w:p>
        </w:tc>
        <w:tc>
          <w:tcPr>
            <w:tcW w:w="124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rPr>
              <w:t>2021</w:t>
            </w:r>
          </w:p>
        </w:tc>
        <w:tc>
          <w:tcPr>
            <w:tcW w:w="5220" w:type="dxa"/>
            <w:vAlign w:val="bottom"/>
          </w:tcPr>
          <w:p>
            <w:pPr>
              <w:spacing w:after="0"/>
              <w:rPr>
                <w:sz w:val="20"/>
                <w:szCs w:val="20"/>
                <w:color w:val="auto"/>
              </w:rPr>
            </w:pPr>
          </w:p>
        </w:tc>
      </w:tr>
      <w:tr>
        <w:trPr>
          <w:trHeight w:val="224"/>
        </w:trPr>
        <w:tc>
          <w:tcPr>
            <w:tcW w:w="3700" w:type="dxa"/>
            <w:vAlign w:val="bottom"/>
          </w:tcPr>
          <w:p>
            <w:pPr>
              <w:spacing w:after="0"/>
              <w:rPr>
                <w:sz w:val="20"/>
                <w:szCs w:val="20"/>
                <w:color w:val="auto"/>
              </w:rPr>
            </w:pPr>
            <w:r>
              <w:rPr>
                <w:rFonts w:ascii="Arial" w:cs="Arial" w:eastAsia="Arial" w:hAnsi="Arial"/>
                <w:sz w:val="18"/>
                <w:szCs w:val="18"/>
                <w:color w:val="auto"/>
              </w:rPr>
              <w:t>Bookings</w:t>
            </w:r>
          </w:p>
        </w:tc>
        <w:tc>
          <w:tcPr>
            <w:tcW w:w="10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rPr>
              <w:t>$   329.9</w:t>
            </w:r>
          </w:p>
        </w:tc>
        <w:tc>
          <w:tcPr>
            <w:tcW w:w="120" w:type="dxa"/>
            <w:vAlign w:val="bottom"/>
          </w:tcPr>
          <w:p>
            <w:pPr>
              <w:spacing w:after="0"/>
              <w:rPr>
                <w:sz w:val="19"/>
                <w:szCs w:val="19"/>
                <w:color w:val="auto"/>
              </w:rPr>
            </w:pPr>
          </w:p>
        </w:tc>
        <w:tc>
          <w:tcPr>
            <w:tcW w:w="112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rPr>
              <w:t>$   289.1</w:t>
            </w:r>
          </w:p>
        </w:tc>
        <w:tc>
          <w:tcPr>
            <w:tcW w:w="5220" w:type="dxa"/>
            <w:vAlign w:val="bottom"/>
          </w:tcPr>
          <w:p>
            <w:pPr>
              <w:spacing w:after="0"/>
              <w:rPr>
                <w:sz w:val="19"/>
                <w:szCs w:val="19"/>
                <w:color w:val="auto"/>
              </w:rPr>
            </w:pPr>
          </w:p>
        </w:tc>
      </w:tr>
      <w:tr>
        <w:trPr>
          <w:trHeight w:val="242"/>
        </w:trPr>
        <w:tc>
          <w:tcPr>
            <w:tcW w:w="3700" w:type="dxa"/>
            <w:vAlign w:val="bottom"/>
          </w:tcPr>
          <w:p>
            <w:pPr>
              <w:spacing w:after="0"/>
              <w:rPr>
                <w:sz w:val="20"/>
                <w:szCs w:val="20"/>
                <w:color w:val="auto"/>
              </w:rPr>
            </w:pPr>
            <w:r>
              <w:rPr>
                <w:rFonts w:ascii="Arial" w:cs="Arial" w:eastAsia="Arial" w:hAnsi="Arial"/>
                <w:sz w:val="18"/>
                <w:szCs w:val="18"/>
                <w:color w:val="auto"/>
              </w:rPr>
              <w:t>Sales</w:t>
            </w:r>
          </w:p>
        </w:tc>
        <w:tc>
          <w:tcPr>
            <w:tcW w:w="1080" w:type="dxa"/>
            <w:vAlign w:val="bottom"/>
          </w:tcPr>
          <w:p>
            <w:pPr>
              <w:jc w:val="right"/>
              <w:ind w:right="170"/>
              <w:spacing w:after="0"/>
              <w:rPr>
                <w:sz w:val="20"/>
                <w:szCs w:val="20"/>
                <w:color w:val="auto"/>
              </w:rPr>
            </w:pPr>
            <w:r>
              <w:rPr>
                <w:rFonts w:ascii="Arial" w:cs="Arial" w:eastAsia="Arial" w:hAnsi="Arial"/>
                <w:sz w:val="18"/>
                <w:szCs w:val="18"/>
                <w:color w:val="auto"/>
              </w:rPr>
              <w:t>268.4</w:t>
            </w:r>
          </w:p>
        </w:tc>
        <w:tc>
          <w:tcPr>
            <w:tcW w:w="1240" w:type="dxa"/>
            <w:vAlign w:val="bottom"/>
            <w:gridSpan w:val="2"/>
          </w:tcPr>
          <w:p>
            <w:pPr>
              <w:jc w:val="right"/>
              <w:ind w:right="190"/>
              <w:spacing w:after="0"/>
              <w:rPr>
                <w:sz w:val="20"/>
                <w:szCs w:val="20"/>
                <w:color w:val="auto"/>
              </w:rPr>
            </w:pPr>
            <w:r>
              <w:rPr>
                <w:rFonts w:ascii="Arial" w:cs="Arial" w:eastAsia="Arial" w:hAnsi="Arial"/>
                <w:sz w:val="18"/>
                <w:szCs w:val="18"/>
                <w:color w:val="auto"/>
              </w:rPr>
              <w:t>281.2</w:t>
            </w:r>
          </w:p>
        </w:tc>
        <w:tc>
          <w:tcPr>
            <w:tcW w:w="52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w:t>
            </w:r>
          </w:p>
        </w:tc>
        <w:tc>
          <w:tcPr>
            <w:tcW w:w="1080" w:type="dxa"/>
            <w:vAlign w:val="bottom"/>
          </w:tcPr>
          <w:p>
            <w:pPr>
              <w:jc w:val="right"/>
              <w:ind w:right="170"/>
              <w:spacing w:after="0"/>
              <w:rPr>
                <w:sz w:val="20"/>
                <w:szCs w:val="20"/>
                <w:color w:val="auto"/>
              </w:rPr>
            </w:pPr>
            <w:r>
              <w:rPr>
                <w:rFonts w:ascii="Arial" w:cs="Arial" w:eastAsia="Arial" w:hAnsi="Arial"/>
                <w:sz w:val="18"/>
                <w:szCs w:val="18"/>
                <w:color w:val="auto"/>
              </w:rPr>
              <w:t>80.3</w:t>
            </w:r>
          </w:p>
        </w:tc>
        <w:tc>
          <w:tcPr>
            <w:tcW w:w="1240" w:type="dxa"/>
            <w:vAlign w:val="bottom"/>
            <w:gridSpan w:val="2"/>
          </w:tcPr>
          <w:p>
            <w:pPr>
              <w:jc w:val="right"/>
              <w:ind w:right="190"/>
              <w:spacing w:after="0"/>
              <w:rPr>
                <w:sz w:val="20"/>
                <w:szCs w:val="20"/>
                <w:color w:val="auto"/>
              </w:rPr>
            </w:pPr>
            <w:r>
              <w:rPr>
                <w:rFonts w:ascii="Arial" w:cs="Arial" w:eastAsia="Arial" w:hAnsi="Arial"/>
                <w:sz w:val="18"/>
                <w:szCs w:val="18"/>
                <w:color w:val="auto"/>
              </w:rPr>
              <w:t>84.8</w:t>
            </w:r>
          </w:p>
        </w:tc>
        <w:tc>
          <w:tcPr>
            <w:tcW w:w="52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 margin</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29.9%</w:t>
            </w:r>
          </w:p>
        </w:tc>
        <w:tc>
          <w:tcPr>
            <w:tcW w:w="1240" w:type="dxa"/>
            <w:vAlign w:val="bottom"/>
            <w:gridSpan w:val="2"/>
          </w:tcPr>
          <w:p>
            <w:pPr>
              <w:jc w:val="right"/>
              <w:ind w:right="30"/>
              <w:spacing w:after="0"/>
              <w:rPr>
                <w:sz w:val="20"/>
                <w:szCs w:val="20"/>
                <w:color w:val="auto"/>
              </w:rPr>
            </w:pPr>
            <w:r>
              <w:rPr>
                <w:rFonts w:ascii="Arial" w:cs="Arial" w:eastAsia="Arial" w:hAnsi="Arial"/>
                <w:sz w:val="18"/>
                <w:szCs w:val="18"/>
                <w:color w:val="auto"/>
              </w:rPr>
              <w:t>30.2%</w:t>
            </w:r>
          </w:p>
        </w:tc>
        <w:tc>
          <w:tcPr>
            <w:tcW w:w="52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SG&amp;A</w:t>
            </w:r>
          </w:p>
        </w:tc>
        <w:tc>
          <w:tcPr>
            <w:tcW w:w="1080" w:type="dxa"/>
            <w:vAlign w:val="bottom"/>
          </w:tcPr>
          <w:p>
            <w:pPr>
              <w:jc w:val="right"/>
              <w:ind w:right="170"/>
              <w:spacing w:after="0"/>
              <w:rPr>
                <w:sz w:val="20"/>
                <w:szCs w:val="20"/>
                <w:color w:val="auto"/>
              </w:rPr>
            </w:pPr>
            <w:r>
              <w:rPr>
                <w:rFonts w:ascii="Arial" w:cs="Arial" w:eastAsia="Arial" w:hAnsi="Arial"/>
                <w:sz w:val="18"/>
                <w:szCs w:val="18"/>
                <w:color w:val="auto"/>
              </w:rPr>
              <w:t>50.0</w:t>
            </w:r>
          </w:p>
        </w:tc>
        <w:tc>
          <w:tcPr>
            <w:tcW w:w="1240" w:type="dxa"/>
            <w:vAlign w:val="bottom"/>
            <w:gridSpan w:val="2"/>
          </w:tcPr>
          <w:p>
            <w:pPr>
              <w:jc w:val="right"/>
              <w:ind w:right="190"/>
              <w:spacing w:after="0"/>
              <w:rPr>
                <w:sz w:val="20"/>
                <w:szCs w:val="20"/>
                <w:color w:val="auto"/>
              </w:rPr>
            </w:pPr>
            <w:r>
              <w:rPr>
                <w:rFonts w:ascii="Arial" w:cs="Arial" w:eastAsia="Arial" w:hAnsi="Arial"/>
                <w:sz w:val="18"/>
                <w:szCs w:val="18"/>
                <w:color w:val="auto"/>
              </w:rPr>
              <w:t>48.0</w:t>
            </w:r>
          </w:p>
        </w:tc>
        <w:tc>
          <w:tcPr>
            <w:tcW w:w="52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080" w:type="dxa"/>
            <w:vAlign w:val="bottom"/>
          </w:tcPr>
          <w:p>
            <w:pPr>
              <w:jc w:val="right"/>
              <w:ind w:right="170"/>
              <w:spacing w:after="0"/>
              <w:rPr>
                <w:sz w:val="20"/>
                <w:szCs w:val="20"/>
                <w:color w:val="auto"/>
              </w:rPr>
            </w:pPr>
            <w:r>
              <w:rPr>
                <w:rFonts w:ascii="Arial" w:cs="Arial" w:eastAsia="Arial" w:hAnsi="Arial"/>
                <w:sz w:val="18"/>
                <w:szCs w:val="18"/>
                <w:color w:val="auto"/>
              </w:rPr>
              <w:t>30.4</w:t>
            </w:r>
          </w:p>
        </w:tc>
        <w:tc>
          <w:tcPr>
            <w:tcW w:w="1240" w:type="dxa"/>
            <w:vAlign w:val="bottom"/>
            <w:gridSpan w:val="2"/>
          </w:tcPr>
          <w:p>
            <w:pPr>
              <w:jc w:val="right"/>
              <w:ind w:right="190"/>
              <w:spacing w:after="0"/>
              <w:rPr>
                <w:sz w:val="20"/>
                <w:szCs w:val="20"/>
                <w:color w:val="auto"/>
              </w:rPr>
            </w:pPr>
            <w:r>
              <w:rPr>
                <w:rFonts w:ascii="Arial" w:cs="Arial" w:eastAsia="Arial" w:hAnsi="Arial"/>
                <w:sz w:val="18"/>
                <w:szCs w:val="18"/>
                <w:color w:val="auto"/>
              </w:rPr>
              <w:t>37.2</w:t>
            </w:r>
          </w:p>
        </w:tc>
        <w:tc>
          <w:tcPr>
            <w:tcW w:w="52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w w:val="88"/>
              </w:rPr>
              <w:t>Segment operating income as a percentage of sales</w:t>
            </w:r>
          </w:p>
        </w:tc>
        <w:tc>
          <w:tcPr>
            <w:tcW w:w="1080" w:type="dxa"/>
            <w:vAlign w:val="bottom"/>
          </w:tcPr>
          <w:p>
            <w:pPr>
              <w:jc w:val="right"/>
              <w:ind w:right="30"/>
              <w:spacing w:after="0"/>
              <w:rPr>
                <w:sz w:val="20"/>
                <w:szCs w:val="20"/>
                <w:color w:val="auto"/>
              </w:rPr>
            </w:pPr>
            <w:r>
              <w:rPr>
                <w:rFonts w:ascii="Arial" w:cs="Arial" w:eastAsia="Arial" w:hAnsi="Arial"/>
                <w:sz w:val="18"/>
                <w:szCs w:val="18"/>
                <w:color w:val="auto"/>
              </w:rPr>
              <w:t>11.3%</w:t>
            </w:r>
          </w:p>
        </w:tc>
        <w:tc>
          <w:tcPr>
            <w:tcW w:w="1240" w:type="dxa"/>
            <w:vAlign w:val="bottom"/>
            <w:gridSpan w:val="2"/>
          </w:tcPr>
          <w:p>
            <w:pPr>
              <w:jc w:val="right"/>
              <w:ind w:right="30"/>
              <w:spacing w:after="0"/>
              <w:rPr>
                <w:sz w:val="20"/>
                <w:szCs w:val="20"/>
                <w:color w:val="auto"/>
              </w:rPr>
            </w:pPr>
            <w:r>
              <w:rPr>
                <w:rFonts w:ascii="Arial" w:cs="Arial" w:eastAsia="Arial" w:hAnsi="Arial"/>
                <w:sz w:val="18"/>
                <w:szCs w:val="18"/>
                <w:color w:val="auto"/>
              </w:rPr>
              <w:t>13.2%</w:t>
            </w:r>
          </w:p>
        </w:tc>
        <w:tc>
          <w:tcPr>
            <w:tcW w:w="5220" w:type="dxa"/>
            <w:vAlign w:val="bottom"/>
          </w:tcPr>
          <w:p>
            <w:pPr>
              <w:spacing w:after="0"/>
              <w:rPr>
                <w:sz w:val="21"/>
                <w:szCs w:val="21"/>
                <w:color w:val="auto"/>
              </w:rPr>
            </w:pPr>
          </w:p>
        </w:tc>
      </w:tr>
      <w:tr>
        <w:trPr>
          <w:trHeight w:val="196"/>
        </w:trPr>
        <w:tc>
          <w:tcPr>
            <w:tcW w:w="37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5220" w:type="dxa"/>
            <w:vAlign w:val="bottom"/>
            <w:tcBorders>
              <w:bottom w:val="single" w:sz="8" w:color="auto"/>
            </w:tcBorders>
          </w:tcPr>
          <w:p>
            <w:pPr>
              <w:spacing w:after="0"/>
              <w:rPr>
                <w:sz w:val="17"/>
                <w:szCs w:val="17"/>
                <w:color w:val="auto"/>
              </w:rPr>
            </w:pPr>
          </w:p>
        </w:tc>
      </w:tr>
    </w:tbl>
    <w:p>
      <w:pPr>
        <w:sectPr>
          <w:pgSz w:w="11900" w:h="16838" w:orient="portrait"/>
          <w:cols w:equalWidth="0" w:num="1">
            <w:col w:w="11240"/>
          </w:cols>
          <w:pgMar w:left="320" w:top="378" w:right="339" w:bottom="1440" w:gutter="0" w:footer="0" w:header="0"/>
        </w:sectPr>
      </w:pPr>
    </w:p>
    <w:bookmarkStart w:id="10" w:name="page11"/>
    <w:bookmarkEnd w:id="1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80" w:type="dxa"/>
            <w:vAlign w:val="bottom"/>
          </w:tcPr>
          <w:p>
            <w:pPr>
              <w:spacing w:after="0"/>
              <w:rPr>
                <w:sz w:val="20"/>
                <w:szCs w:val="20"/>
                <w:color w:val="auto"/>
              </w:rPr>
            </w:pPr>
            <w:r>
              <w:rPr>
                <w:rFonts w:ascii="Arial" w:cs="Arial" w:eastAsia="Arial" w:hAnsi="Arial"/>
                <w:sz w:val="18"/>
                <w:szCs w:val="18"/>
                <w:b w:val="1"/>
                <w:bCs w:val="1"/>
                <w:color w:val="auto"/>
              </w:rPr>
              <w:t>CONDENSED CONSOLIDATED STATEMENTS OF INCOME</w:t>
            </w:r>
          </w:p>
        </w:tc>
        <w:tc>
          <w:tcPr>
            <w:tcW w:w="1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8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1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080" w:type="dxa"/>
            <w:vAlign w:val="bottom"/>
          </w:tcPr>
          <w:p>
            <w:pPr>
              <w:spacing w:after="0"/>
              <w:rPr>
                <w:sz w:val="21"/>
                <w:szCs w:val="21"/>
                <w:color w:val="auto"/>
              </w:rPr>
            </w:pPr>
          </w:p>
        </w:tc>
        <w:tc>
          <w:tcPr>
            <w:tcW w:w="2120" w:type="dxa"/>
            <w:vAlign w:val="bottom"/>
            <w:tcBorders>
              <w:bottom w:val="single" w:sz="8" w:color="auto"/>
            </w:tcBorders>
            <w:gridSpan w:val="5"/>
          </w:tcPr>
          <w:p>
            <w:pPr>
              <w:spacing w:after="0"/>
              <w:rPr>
                <w:sz w:val="20"/>
                <w:szCs w:val="20"/>
                <w:color w:val="auto"/>
              </w:rPr>
            </w:pPr>
            <w:r>
              <w:rPr>
                <w:rFonts w:ascii="Arial" w:cs="Arial" w:eastAsia="Arial" w:hAnsi="Arial"/>
                <w:sz w:val="18"/>
                <w:szCs w:val="18"/>
                <w:b w:val="1"/>
                <w:bCs w:val="1"/>
                <w:color w:val="auto"/>
                <w:w w:val="90"/>
              </w:rPr>
              <w:t>Six Months Ended June 30,</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2022</w:t>
            </w:r>
          </w:p>
        </w:tc>
        <w:tc>
          <w:tcPr>
            <w:tcW w:w="6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2021</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6"/>
        </w:trPr>
        <w:tc>
          <w:tcPr>
            <w:tcW w:w="6080" w:type="dxa"/>
            <w:vAlign w:val="bottom"/>
          </w:tcPr>
          <w:p>
            <w:pPr>
              <w:spacing w:after="0"/>
              <w:rPr>
                <w:sz w:val="20"/>
                <w:szCs w:val="20"/>
                <w:color w:val="auto"/>
              </w:rPr>
            </w:pPr>
            <w:r>
              <w:rPr>
                <w:rFonts w:ascii="Arial" w:cs="Arial" w:eastAsia="Arial" w:hAnsi="Arial"/>
                <w:sz w:val="18"/>
                <w:szCs w:val="18"/>
                <w:color w:val="auto"/>
              </w:rPr>
              <w:t>Sales</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w w:val="97"/>
              </w:rPr>
              <w:t>1,703,280</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w w:val="99"/>
              </w:rPr>
              <w:t>1,755,486</w:t>
            </w:r>
          </w:p>
        </w:tc>
        <w:tc>
          <w:tcPr>
            <w:tcW w:w="3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6080" w:type="dxa"/>
            <w:vAlign w:val="bottom"/>
          </w:tcPr>
          <w:p>
            <w:pPr>
              <w:spacing w:after="0"/>
              <w:rPr>
                <w:sz w:val="20"/>
                <w:szCs w:val="20"/>
                <w:color w:val="auto"/>
              </w:rPr>
            </w:pPr>
            <w:r>
              <w:rPr>
                <w:rFonts w:ascii="Arial" w:cs="Arial" w:eastAsia="Arial" w:hAnsi="Arial"/>
                <w:sz w:val="18"/>
                <w:szCs w:val="18"/>
                <w:color w:val="auto"/>
              </w:rPr>
              <w:t>Cost of sales</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1"/>
              </w:rPr>
              <w:t>(1,243,803)</w:t>
            </w:r>
          </w:p>
        </w:tc>
        <w:tc>
          <w:tcPr>
            <w:tcW w:w="6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(1,226,348)</w:t>
            </w:r>
          </w:p>
        </w:tc>
        <w:tc>
          <w:tcPr>
            <w:tcW w:w="3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6080" w:type="dxa"/>
            <w:vAlign w:val="bottom"/>
          </w:tcPr>
          <w:p>
            <w:pPr>
              <w:spacing w:after="0"/>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459,477</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529,138</w:t>
            </w:r>
          </w:p>
        </w:tc>
        <w:tc>
          <w:tcPr>
            <w:tcW w:w="3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608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(400,816)</w:t>
            </w: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(409,104)</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1,806</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608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9,039</w:t>
            </w:r>
          </w:p>
        </w:tc>
        <w:tc>
          <w:tcPr>
            <w:tcW w:w="6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6,425</w:t>
            </w:r>
          </w:p>
        </w:tc>
        <w:tc>
          <w:tcPr>
            <w:tcW w:w="3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6080" w:type="dxa"/>
            <w:vAlign w:val="bottom"/>
          </w:tcPr>
          <w:p>
            <w:pPr>
              <w:spacing w:after="0"/>
              <w:rPr>
                <w:sz w:val="20"/>
                <w:szCs w:val="20"/>
                <w:color w:val="auto"/>
              </w:rPr>
            </w:pPr>
            <w:r>
              <w:rPr>
                <w:rFonts w:ascii="Arial" w:cs="Arial" w:eastAsia="Arial" w:hAnsi="Arial"/>
                <w:sz w:val="18"/>
                <w:szCs w:val="18"/>
                <w:color w:val="auto"/>
              </w:rPr>
              <w:t>Operating income</w:t>
            </w: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67,700</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128,265</w:t>
            </w:r>
          </w:p>
        </w:tc>
        <w:tc>
          <w:tcPr>
            <w:tcW w:w="3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608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(21,755)</w:t>
            </w: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(31,101)</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Loss on extinguishment of debt</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(7,610)</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1,797</w:t>
            </w: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1,067</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6080" w:type="dxa"/>
            <w:vAlign w:val="bottom"/>
          </w:tcPr>
          <w:p>
            <w:pPr>
              <w:ind w:left="220"/>
              <w:spacing w:after="0"/>
              <w:rPr>
                <w:sz w:val="20"/>
                <w:szCs w:val="20"/>
                <w:color w:val="auto"/>
              </w:rPr>
            </w:pPr>
            <w:r>
              <w:rPr>
                <w:rFonts w:ascii="Arial" w:cs="Arial" w:eastAsia="Arial" w:hAnsi="Arial"/>
                <w:sz w:val="18"/>
                <w:szCs w:val="18"/>
                <w:color w:val="auto"/>
              </w:rPr>
              <w:t>Other income (expense), net</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(524)</w:t>
            </w:r>
          </w:p>
        </w:tc>
        <w:tc>
          <w:tcPr>
            <w:tcW w:w="6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(19,213)</w:t>
            </w:r>
          </w:p>
        </w:tc>
        <w:tc>
          <w:tcPr>
            <w:tcW w:w="3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608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47,218</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71,408</w:t>
            </w:r>
          </w:p>
        </w:tc>
        <w:tc>
          <w:tcPr>
            <w:tcW w:w="3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60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(14,800)</w:t>
            </w:r>
          </w:p>
        </w:tc>
        <w:tc>
          <w:tcPr>
            <w:tcW w:w="6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(6,503)</w:t>
            </w:r>
          </w:p>
        </w:tc>
        <w:tc>
          <w:tcPr>
            <w:tcW w:w="3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6080" w:type="dxa"/>
            <w:vAlign w:val="bottom"/>
          </w:tcPr>
          <w:p>
            <w:pPr>
              <w:spacing w:after="0"/>
              <w:rPr>
                <w:sz w:val="20"/>
                <w:szCs w:val="20"/>
                <w:color w:val="auto"/>
              </w:rPr>
            </w:pPr>
            <w:r>
              <w:rPr>
                <w:rFonts w:ascii="Arial" w:cs="Arial" w:eastAsia="Arial" w:hAnsi="Arial"/>
                <w:sz w:val="18"/>
                <w:szCs w:val="18"/>
                <w:color w:val="auto"/>
              </w:rPr>
              <w:t>Net earnings, including noncontrolling interests</w:t>
            </w:r>
          </w:p>
        </w:tc>
        <w:tc>
          <w:tcPr>
            <w:tcW w:w="1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32,418</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64,905</w:t>
            </w:r>
          </w:p>
        </w:tc>
        <w:tc>
          <w:tcPr>
            <w:tcW w:w="3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6080" w:type="dxa"/>
            <w:vAlign w:val="bottom"/>
          </w:tcPr>
          <w:p>
            <w:pPr>
              <w:ind w:left="420"/>
              <w:spacing w:after="0"/>
              <w:rPr>
                <w:sz w:val="20"/>
                <w:szCs w:val="20"/>
                <w:color w:val="auto"/>
              </w:rPr>
            </w:pPr>
            <w:r>
              <w:rPr>
                <w:rFonts w:ascii="Arial" w:cs="Arial" w:eastAsia="Arial" w:hAnsi="Arial"/>
                <w:sz w:val="18"/>
                <w:szCs w:val="18"/>
                <w:color w:val="auto"/>
              </w:rPr>
              <w:t>Less: Net earnings attributable to noncontrolling interests</w:t>
            </w:r>
          </w:p>
        </w:tc>
        <w:tc>
          <w:tcPr>
            <w:tcW w:w="1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(3,458)</w:t>
            </w:r>
          </w:p>
        </w:tc>
        <w:tc>
          <w:tcPr>
            <w:tcW w:w="6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(5,471)</w:t>
            </w:r>
          </w:p>
        </w:tc>
        <w:tc>
          <w:tcPr>
            <w:tcW w:w="3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6"/>
        </w:trPr>
        <w:tc>
          <w:tcPr>
            <w:tcW w:w="6080" w:type="dxa"/>
            <w:vAlign w:val="bottom"/>
          </w:tcPr>
          <w:p>
            <w:pPr>
              <w:spacing w:after="0"/>
              <w:rPr>
                <w:sz w:val="20"/>
                <w:szCs w:val="20"/>
                <w:color w:val="auto"/>
              </w:rPr>
            </w:pPr>
            <w:r>
              <w:rPr>
                <w:rFonts w:ascii="Arial" w:cs="Arial" w:eastAsia="Arial" w:hAnsi="Arial"/>
                <w:sz w:val="18"/>
                <w:szCs w:val="18"/>
                <w:color w:val="auto"/>
              </w:rPr>
              <w:t>Net earnings attributable to Flowserve Corporation</w:t>
            </w:r>
          </w:p>
        </w:tc>
        <w:tc>
          <w:tcPr>
            <w:tcW w:w="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28,960</w:t>
            </w:r>
          </w:p>
        </w:tc>
        <w:tc>
          <w:tcPr>
            <w:tcW w:w="60" w:type="dxa"/>
            <w:vAlign w:val="bottom"/>
          </w:tcPr>
          <w:p>
            <w:pPr>
              <w:spacing w:after="0"/>
              <w:rPr>
                <w:sz w:val="20"/>
                <w:szCs w:val="20"/>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59,434</w:t>
            </w:r>
          </w:p>
        </w:tc>
        <w:tc>
          <w:tcPr>
            <w:tcW w:w="3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080" w:type="dxa"/>
            <w:vAlign w:val="bottom"/>
            <w:vMerge w:val="restart"/>
          </w:tcPr>
          <w:p>
            <w:pPr>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30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608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Basic</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0.22</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0.46</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Diluted</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0.22</w:t>
            </w: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0.45</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6"/>
        </w:trPr>
        <w:tc>
          <w:tcPr>
            <w:tcW w:w="6080" w:type="dxa"/>
            <w:vAlign w:val="bottom"/>
          </w:tcPr>
          <w:p>
            <w:pPr>
              <w:ind w:left="220"/>
              <w:spacing w:after="0"/>
              <w:rPr>
                <w:sz w:val="20"/>
                <w:szCs w:val="20"/>
                <w:color w:val="auto"/>
              </w:rPr>
            </w:pPr>
            <w:r>
              <w:rPr>
                <w:rFonts w:ascii="Arial" w:cs="Arial" w:eastAsia="Arial" w:hAnsi="Arial"/>
                <w:sz w:val="18"/>
                <w:szCs w:val="18"/>
                <w:color w:val="auto"/>
              </w:rPr>
              <w:t>Weighted average shares - basic</w:t>
            </w:r>
          </w:p>
        </w:tc>
        <w:tc>
          <w:tcPr>
            <w:tcW w:w="1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130,554</w:t>
            </w: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130,366</w:t>
            </w:r>
          </w:p>
        </w:tc>
        <w:tc>
          <w:tcPr>
            <w:tcW w:w="3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20"/>
              <w:spacing w:after="0"/>
              <w:rPr>
                <w:sz w:val="20"/>
                <w:szCs w:val="20"/>
                <w:color w:val="auto"/>
              </w:rPr>
            </w:pPr>
            <w:r>
              <w:rPr>
                <w:rFonts w:ascii="Arial" w:cs="Arial" w:eastAsia="Arial" w:hAnsi="Arial"/>
                <w:sz w:val="18"/>
                <w:szCs w:val="18"/>
                <w:color w:val="auto"/>
              </w:rPr>
              <w:t>Weighted average shares - diluted</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131,148</w:t>
            </w: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130,905</w:t>
            </w:r>
          </w:p>
        </w:tc>
        <w:tc>
          <w:tcPr>
            <w:tcW w:w="3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608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30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78"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0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266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w w:val="92"/>
              </w:rPr>
              <w:t>Six Months Ended June 30, 2022</w:t>
            </w: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r>
      <w:tr>
        <w:trPr>
          <w:trHeight w:val="243"/>
        </w:trPr>
        <w:tc>
          <w:tcPr>
            <w:tcW w:w="606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24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1"/>
              </w:rPr>
              <w:t>As Reported (a)</w:t>
            </w:r>
          </w:p>
        </w:tc>
        <w:tc>
          <w:tcPr>
            <w:tcW w:w="140" w:type="dxa"/>
            <w:vAlign w:val="bottom"/>
          </w:tcPr>
          <w:p>
            <w:pPr>
              <w:spacing w:after="0"/>
              <w:rPr>
                <w:sz w:val="21"/>
                <w:szCs w:val="21"/>
                <w:color w:val="auto"/>
              </w:rPr>
            </w:pPr>
          </w:p>
        </w:tc>
        <w:tc>
          <w:tcPr>
            <w:tcW w:w="12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0"/>
              </w:rPr>
              <w:t>Realignment (1)</w:t>
            </w:r>
          </w:p>
        </w:tc>
        <w:tc>
          <w:tcPr>
            <w:tcW w:w="300" w:type="dxa"/>
            <w:vAlign w:val="bottom"/>
          </w:tcPr>
          <w:p>
            <w:pPr>
              <w:spacing w:after="0"/>
              <w:rPr>
                <w:sz w:val="21"/>
                <w:szCs w:val="21"/>
                <w:color w:val="auto"/>
              </w:rPr>
            </w:pPr>
          </w:p>
        </w:tc>
        <w:tc>
          <w:tcPr>
            <w:tcW w:w="96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3"/>
              </w:rPr>
              <w:t>Other Items</w:t>
            </w:r>
          </w:p>
        </w:tc>
        <w:tc>
          <w:tcPr>
            <w:tcW w:w="300" w:type="dxa"/>
            <w:vAlign w:val="bottom"/>
          </w:tcPr>
          <w:p>
            <w:pPr>
              <w:spacing w:after="0"/>
              <w:rPr>
                <w:sz w:val="21"/>
                <w:szCs w:val="21"/>
                <w:color w:val="auto"/>
              </w:rPr>
            </w:pPr>
          </w:p>
        </w:tc>
        <w:tc>
          <w:tcPr>
            <w:tcW w:w="98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1"/>
              </w:rPr>
              <w:t>As Adjusted</w:t>
            </w:r>
          </w:p>
        </w:tc>
      </w:tr>
      <w:tr>
        <w:trPr>
          <w:trHeight w:val="466"/>
        </w:trPr>
        <w:tc>
          <w:tcPr>
            <w:tcW w:w="6060" w:type="dxa"/>
            <w:vAlign w:val="bottom"/>
          </w:tcPr>
          <w:p>
            <w:pPr>
              <w:spacing w:after="0"/>
              <w:rPr>
                <w:sz w:val="20"/>
                <w:szCs w:val="20"/>
                <w:color w:val="auto"/>
              </w:rPr>
            </w:pPr>
            <w:r>
              <w:rPr>
                <w:rFonts w:ascii="Arial" w:cs="Arial" w:eastAsia="Arial" w:hAnsi="Arial"/>
                <w:sz w:val="18"/>
                <w:szCs w:val="18"/>
                <w:color w:val="auto"/>
              </w:rPr>
              <w:t>Sales</w:t>
            </w: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color w:val="auto"/>
                <w:w w:val="99"/>
              </w:rPr>
              <w:t>1,703,280</w:t>
            </w:r>
          </w:p>
        </w:tc>
        <w:tc>
          <w:tcPr>
            <w:tcW w:w="4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70"/>
              <w:spacing w:after="0"/>
              <w:rPr>
                <w:sz w:val="20"/>
                <w:szCs w:val="20"/>
                <w:color w:val="auto"/>
              </w:rPr>
            </w:pPr>
            <w:r>
              <w:rPr>
                <w:rFonts w:ascii="Arial" w:cs="Arial" w:eastAsia="Arial" w:hAnsi="Arial"/>
                <w:sz w:val="18"/>
                <w:szCs w:val="18"/>
                <w:color w:val="auto"/>
                <w:w w:val="87"/>
              </w:rPr>
              <w:t>1,703,280</w:t>
            </w:r>
          </w:p>
        </w:tc>
      </w:tr>
      <w:tr>
        <w:trPr>
          <w:trHeight w:val="243"/>
        </w:trPr>
        <w:tc>
          <w:tcPr>
            <w:tcW w:w="6060" w:type="dxa"/>
            <w:vAlign w:val="bottom"/>
          </w:tcPr>
          <w:p>
            <w:pPr>
              <w:spacing w:after="0"/>
              <w:rPr>
                <w:sz w:val="20"/>
                <w:szCs w:val="20"/>
                <w:color w:val="auto"/>
              </w:rPr>
            </w:pPr>
            <w:r>
              <w:rPr>
                <w:rFonts w:ascii="Arial" w:cs="Arial" w:eastAsia="Arial" w:hAnsi="Arial"/>
                <w:sz w:val="18"/>
                <w:szCs w:val="18"/>
                <w:color w:val="auto"/>
              </w:rPr>
              <w:t>Gross profit</w:t>
            </w:r>
          </w:p>
        </w:tc>
        <w:tc>
          <w:tcPr>
            <w:tcW w:w="20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459,477</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(269)</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color w:val="auto"/>
                <w:w w:val="98"/>
              </w:rPr>
              <w:t>(10,053)</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(3)</w:t>
            </w:r>
          </w:p>
        </w:tc>
        <w:tc>
          <w:tcPr>
            <w:tcW w:w="100" w:type="dxa"/>
            <w:vAlign w:val="bottom"/>
          </w:tcPr>
          <w:p>
            <w:pPr>
              <w:spacing w:after="0"/>
              <w:rPr>
                <w:sz w:val="21"/>
                <w:szCs w:val="21"/>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469,799</w:t>
            </w:r>
          </w:p>
        </w:tc>
      </w:tr>
      <w:tr>
        <w:trPr>
          <w:trHeight w:val="243"/>
        </w:trPr>
        <w:tc>
          <w:tcPr>
            <w:tcW w:w="6060" w:type="dxa"/>
            <w:vAlign w:val="bottom"/>
          </w:tcPr>
          <w:p>
            <w:pPr>
              <w:ind w:left="620"/>
              <w:spacing w:after="0"/>
              <w:rPr>
                <w:sz w:val="20"/>
                <w:szCs w:val="20"/>
                <w:color w:val="auto"/>
              </w:rPr>
            </w:pPr>
            <w:r>
              <w:rPr>
                <w:rFonts w:ascii="Arial" w:cs="Arial" w:eastAsia="Arial" w:hAnsi="Arial"/>
                <w:sz w:val="18"/>
                <w:szCs w:val="18"/>
                <w:i w:val="1"/>
                <w:iCs w:val="1"/>
                <w:color w:val="auto"/>
              </w:rPr>
              <w:t>Gross margin</w:t>
            </w:r>
          </w:p>
        </w:tc>
        <w:tc>
          <w:tcPr>
            <w:tcW w:w="2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27.0%</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27.6%</w:t>
            </w:r>
          </w:p>
        </w:tc>
      </w:tr>
      <w:tr>
        <w:trPr>
          <w:trHeight w:val="486"/>
        </w:trPr>
        <w:tc>
          <w:tcPr>
            <w:tcW w:w="606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20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(400,744)</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139</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color w:val="auto"/>
                <w:w w:val="98"/>
              </w:rPr>
              <w:t>(13,229)</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(3)</w:t>
            </w:r>
          </w:p>
        </w:tc>
        <w:tc>
          <w:tcPr>
            <w:tcW w:w="10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w w:val="98"/>
              </w:rPr>
              <w:t>(387,654)</w:t>
            </w:r>
          </w:p>
        </w:tc>
      </w:tr>
      <w:tr>
        <w:trPr>
          <w:trHeight w:val="256"/>
        </w:trPr>
        <w:tc>
          <w:tcPr>
            <w:tcW w:w="606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2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8,967</w:t>
            </w:r>
          </w:p>
        </w:tc>
        <w:tc>
          <w:tcPr>
            <w:tcW w:w="14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8,967</w:t>
            </w:r>
          </w:p>
        </w:tc>
      </w:tr>
      <w:tr>
        <w:trPr>
          <w:trHeight w:val="466"/>
        </w:trPr>
        <w:tc>
          <w:tcPr>
            <w:tcW w:w="6060" w:type="dxa"/>
            <w:vAlign w:val="bottom"/>
          </w:tcPr>
          <w:p>
            <w:pPr>
              <w:spacing w:after="0"/>
              <w:rPr>
                <w:sz w:val="20"/>
                <w:szCs w:val="20"/>
                <w:color w:val="auto"/>
              </w:rPr>
            </w:pPr>
            <w:r>
              <w:rPr>
                <w:rFonts w:ascii="Arial" w:cs="Arial" w:eastAsia="Arial" w:hAnsi="Arial"/>
                <w:sz w:val="18"/>
                <w:szCs w:val="18"/>
                <w:color w:val="auto"/>
              </w:rPr>
              <w:t>Operating income</w:t>
            </w:r>
          </w:p>
        </w:tc>
        <w:tc>
          <w:tcPr>
            <w:tcW w:w="20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67,700</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(130)</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color w:val="auto"/>
                <w:w w:val="98"/>
              </w:rPr>
              <w:t>(23,282)</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91,112</w:t>
            </w:r>
          </w:p>
        </w:tc>
      </w:tr>
      <w:tr>
        <w:trPr>
          <w:trHeight w:val="243"/>
        </w:trPr>
        <w:tc>
          <w:tcPr>
            <w:tcW w:w="6060" w:type="dxa"/>
            <w:vAlign w:val="bottom"/>
          </w:tcPr>
          <w:p>
            <w:pPr>
              <w:ind w:left="620"/>
              <w:spacing w:after="0"/>
              <w:rPr>
                <w:sz w:val="20"/>
                <w:szCs w:val="20"/>
                <w:color w:val="auto"/>
              </w:rPr>
            </w:pPr>
            <w:r>
              <w:rPr>
                <w:rFonts w:ascii="Arial" w:cs="Arial" w:eastAsia="Arial" w:hAnsi="Arial"/>
                <w:sz w:val="18"/>
                <w:szCs w:val="18"/>
                <w:i w:val="1"/>
                <w:iCs w:val="1"/>
                <w:color w:val="auto"/>
              </w:rPr>
              <w:t>Operating income as a percentage of sales</w:t>
            </w:r>
          </w:p>
        </w:tc>
        <w:tc>
          <w:tcPr>
            <w:tcW w:w="2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4.0%</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5.3%</w:t>
            </w:r>
          </w:p>
        </w:tc>
      </w:tr>
      <w:tr>
        <w:trPr>
          <w:trHeight w:val="499"/>
        </w:trPr>
        <w:tc>
          <w:tcPr>
            <w:tcW w:w="606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2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(20,482)</w:t>
            </w:r>
          </w:p>
        </w:tc>
        <w:tc>
          <w:tcPr>
            <w:tcW w:w="14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4,418</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1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(24,900)</w:t>
            </w:r>
          </w:p>
        </w:tc>
      </w:tr>
      <w:tr>
        <w:trPr>
          <w:trHeight w:val="466"/>
        </w:trPr>
        <w:tc>
          <w:tcPr>
            <w:tcW w:w="606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20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47,218</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(130)</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color w:val="auto"/>
                <w:w w:val="98"/>
              </w:rPr>
              <w:t>(18,864)</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66,212</w:t>
            </w:r>
          </w:p>
        </w:tc>
      </w:tr>
      <w:tr>
        <w:trPr>
          <w:trHeight w:val="243"/>
        </w:trPr>
        <w:tc>
          <w:tcPr>
            <w:tcW w:w="606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00" w:type="dxa"/>
            <w:vAlign w:val="bottom"/>
          </w:tcPr>
          <w:p>
            <w:pPr>
              <w:spacing w:after="0"/>
              <w:rPr>
                <w:sz w:val="21"/>
                <w:szCs w:val="21"/>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(14,800)</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27</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(2)</w:t>
            </w:r>
          </w:p>
        </w:tc>
        <w:tc>
          <w:tcPr>
            <w:tcW w:w="140" w:type="dxa"/>
            <w:vAlign w:val="bottom"/>
          </w:tcPr>
          <w:p>
            <w:pPr>
              <w:spacing w:after="0"/>
              <w:rPr>
                <w:sz w:val="21"/>
                <w:szCs w:val="21"/>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color w:val="auto"/>
              </w:rPr>
              <w:t>(1,101)</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(5)</w:t>
            </w:r>
          </w:p>
        </w:tc>
        <w:tc>
          <w:tcPr>
            <w:tcW w:w="10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(13,726)</w:t>
            </w:r>
          </w:p>
        </w:tc>
      </w:tr>
      <w:tr>
        <w:trPr>
          <w:trHeight w:val="243"/>
        </w:trPr>
        <w:tc>
          <w:tcPr>
            <w:tcW w:w="6060" w:type="dxa"/>
            <w:vAlign w:val="bottom"/>
          </w:tcPr>
          <w:p>
            <w:pPr>
              <w:ind w:left="620"/>
              <w:spacing w:after="0"/>
              <w:rPr>
                <w:sz w:val="20"/>
                <w:szCs w:val="20"/>
                <w:color w:val="auto"/>
              </w:rPr>
            </w:pPr>
            <w:r>
              <w:rPr>
                <w:rFonts w:ascii="Arial" w:cs="Arial" w:eastAsia="Arial" w:hAnsi="Arial"/>
                <w:sz w:val="18"/>
                <w:szCs w:val="18"/>
                <w:i w:val="1"/>
                <w:iCs w:val="1"/>
                <w:color w:val="auto"/>
              </w:rPr>
              <w:t>Tax Rate</w:t>
            </w:r>
          </w:p>
        </w:tc>
        <w:tc>
          <w:tcPr>
            <w:tcW w:w="2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31.3%</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i w:val="1"/>
                <w:iCs w:val="1"/>
                <w:color w:val="auto"/>
              </w:rPr>
              <w:t>20.8%</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i w:val="1"/>
                <w:iCs w:val="1"/>
                <w:color w:val="auto"/>
              </w:rPr>
              <w:t>-5.8%</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20.7%</w:t>
            </w:r>
          </w:p>
        </w:tc>
      </w:tr>
      <w:tr>
        <w:trPr>
          <w:trHeight w:val="486"/>
        </w:trPr>
        <w:tc>
          <w:tcPr>
            <w:tcW w:w="606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200" w:type="dxa"/>
            <w:vAlign w:val="bottom"/>
          </w:tcPr>
          <w:p>
            <w:pPr>
              <w:ind w:left="2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b w:val="1"/>
                <w:bCs w:val="1"/>
                <w:color w:val="auto"/>
              </w:rPr>
              <w:t>28,960</w:t>
            </w:r>
          </w:p>
        </w:tc>
        <w:tc>
          <w:tcPr>
            <w:tcW w:w="42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90"/>
              <w:spacing w:after="0"/>
              <w:rPr>
                <w:sz w:val="20"/>
                <w:szCs w:val="20"/>
                <w:color w:val="auto"/>
              </w:rPr>
            </w:pPr>
            <w:r>
              <w:rPr>
                <w:rFonts w:ascii="Arial" w:cs="Arial" w:eastAsia="Arial" w:hAnsi="Arial"/>
                <w:sz w:val="18"/>
                <w:szCs w:val="18"/>
                <w:b w:val="1"/>
                <w:bCs w:val="1"/>
                <w:color w:val="auto"/>
              </w:rPr>
              <w:t>(103)</w:t>
            </w:r>
          </w:p>
        </w:tc>
        <w:tc>
          <w:tcPr>
            <w:tcW w:w="300" w:type="dxa"/>
            <w:vAlign w:val="bottom"/>
          </w:tcPr>
          <w:p>
            <w:pPr>
              <w:spacing w:after="0"/>
              <w:rPr>
                <w:sz w:val="24"/>
                <w:szCs w:val="24"/>
                <w:color w:val="auto"/>
              </w:rPr>
            </w:pPr>
          </w:p>
        </w:tc>
        <w:tc>
          <w:tcPr>
            <w:tcW w:w="140" w:type="dxa"/>
            <w:vAlign w:val="bottom"/>
          </w:tcPr>
          <w:p>
            <w:pPr>
              <w:spacing w:after="0"/>
              <w:rPr>
                <w:sz w:val="20"/>
                <w:szCs w:val="20"/>
                <w:color w:val="auto"/>
              </w:rPr>
            </w:pPr>
            <w:r>
              <w:rPr>
                <w:rFonts w:ascii="Arial" w:cs="Arial" w:eastAsia="Arial" w:hAnsi="Arial"/>
                <w:sz w:val="18"/>
                <w:szCs w:val="18"/>
                <w:b w:val="1"/>
                <w:bCs w:val="1"/>
                <w:color w:val="auto"/>
              </w:rPr>
              <w:t>$</w:t>
            </w:r>
          </w:p>
        </w:tc>
        <w:tc>
          <w:tcPr>
            <w:tcW w:w="820" w:type="dxa"/>
            <w:vAlign w:val="bottom"/>
          </w:tcPr>
          <w:p>
            <w:pPr>
              <w:jc w:val="right"/>
              <w:ind w:right="50"/>
              <w:spacing w:after="0"/>
              <w:rPr>
                <w:sz w:val="20"/>
                <w:szCs w:val="20"/>
                <w:color w:val="auto"/>
              </w:rPr>
            </w:pPr>
            <w:r>
              <w:rPr>
                <w:rFonts w:ascii="Arial" w:cs="Arial" w:eastAsia="Arial" w:hAnsi="Arial"/>
                <w:sz w:val="18"/>
                <w:szCs w:val="18"/>
                <w:b w:val="1"/>
                <w:bCs w:val="1"/>
                <w:color w:val="auto"/>
                <w:w w:val="98"/>
              </w:rPr>
              <w:t>(19,965)</w:t>
            </w:r>
          </w:p>
        </w:tc>
        <w:tc>
          <w:tcPr>
            <w:tcW w:w="300" w:type="dxa"/>
            <w:vAlign w:val="bottom"/>
          </w:tcPr>
          <w:p>
            <w:pPr>
              <w:spacing w:after="0"/>
              <w:rPr>
                <w:sz w:val="24"/>
                <w:szCs w:val="24"/>
                <w:color w:val="auto"/>
              </w:rPr>
            </w:pPr>
          </w:p>
        </w:tc>
        <w:tc>
          <w:tcPr>
            <w:tcW w:w="100" w:type="dxa"/>
            <w:vAlign w:val="bottom"/>
          </w:tcPr>
          <w:p>
            <w:pPr>
              <w:spacing w:after="0"/>
              <w:rPr>
                <w:sz w:val="20"/>
                <w:szCs w:val="20"/>
                <w:color w:val="auto"/>
              </w:rPr>
            </w:pPr>
            <w:r>
              <w:rPr>
                <w:rFonts w:ascii="Arial" w:cs="Arial" w:eastAsia="Arial" w:hAnsi="Arial"/>
                <w:sz w:val="18"/>
                <w:szCs w:val="18"/>
                <w:b w:val="1"/>
                <w:bCs w:val="1"/>
                <w:color w:val="auto"/>
                <w:w w:val="79"/>
              </w:rPr>
              <w:t>$</w:t>
            </w:r>
          </w:p>
        </w:tc>
        <w:tc>
          <w:tcPr>
            <w:tcW w:w="880" w:type="dxa"/>
            <w:vAlign w:val="bottom"/>
          </w:tcPr>
          <w:p>
            <w:pPr>
              <w:jc w:val="right"/>
              <w:ind w:right="70"/>
              <w:spacing w:after="0"/>
              <w:rPr>
                <w:sz w:val="20"/>
                <w:szCs w:val="20"/>
                <w:color w:val="auto"/>
              </w:rPr>
            </w:pPr>
            <w:r>
              <w:rPr>
                <w:rFonts w:ascii="Arial" w:cs="Arial" w:eastAsia="Arial" w:hAnsi="Arial"/>
                <w:sz w:val="18"/>
                <w:szCs w:val="18"/>
                <w:b w:val="1"/>
                <w:bCs w:val="1"/>
                <w:color w:val="auto"/>
              </w:rPr>
              <w:t>49,028</w:t>
            </w:r>
          </w:p>
        </w:tc>
      </w:tr>
      <w:tr>
        <w:trPr>
          <w:trHeight w:val="472"/>
        </w:trPr>
        <w:tc>
          <w:tcPr>
            <w:tcW w:w="6060" w:type="dxa"/>
            <w:vAlign w:val="bottom"/>
          </w:tcPr>
          <w:p>
            <w:pPr>
              <w:spacing w:after="0"/>
              <w:rPr>
                <w:sz w:val="20"/>
                <w:szCs w:val="20"/>
                <w:color w:val="auto"/>
              </w:rPr>
            </w:pPr>
            <w:r>
              <w:rPr>
                <w:rFonts w:ascii="Arial" w:cs="Arial" w:eastAsia="Arial" w:hAnsi="Arial"/>
                <w:sz w:val="18"/>
                <w:szCs w:val="18"/>
                <w:color w:val="auto"/>
              </w:rPr>
              <w:t>Net earnings per share attributable to Flowserve Corporation common</w:t>
            </w: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30"/>
        </w:trPr>
        <w:tc>
          <w:tcPr>
            <w:tcW w:w="6060" w:type="dxa"/>
            <w:vAlign w:val="bottom"/>
          </w:tcPr>
          <w:p>
            <w:pPr>
              <w:spacing w:after="0"/>
              <w:rPr>
                <w:sz w:val="20"/>
                <w:szCs w:val="20"/>
                <w:color w:val="auto"/>
              </w:rPr>
            </w:pPr>
            <w:r>
              <w:rPr>
                <w:rFonts w:ascii="Arial" w:cs="Arial" w:eastAsia="Arial" w:hAnsi="Arial"/>
                <w:sz w:val="18"/>
                <w:szCs w:val="18"/>
                <w:color w:val="auto"/>
              </w:rPr>
              <w:t>shareholders:</w:t>
            </w:r>
          </w:p>
        </w:tc>
        <w:tc>
          <w:tcPr>
            <w:tcW w:w="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r>
      <w:tr>
        <w:trPr>
          <w:trHeight w:val="243"/>
        </w:trPr>
        <w:tc>
          <w:tcPr>
            <w:tcW w:w="6060" w:type="dxa"/>
            <w:vAlign w:val="bottom"/>
          </w:tcPr>
          <w:p>
            <w:pPr>
              <w:ind w:left="220"/>
              <w:spacing w:after="0"/>
              <w:rPr>
                <w:sz w:val="20"/>
                <w:szCs w:val="20"/>
                <w:color w:val="auto"/>
              </w:rPr>
            </w:pPr>
            <w:r>
              <w:rPr>
                <w:rFonts w:ascii="Arial" w:cs="Arial" w:eastAsia="Arial" w:hAnsi="Arial"/>
                <w:sz w:val="18"/>
                <w:szCs w:val="18"/>
                <w:color w:val="auto"/>
              </w:rPr>
              <w:t>Basic</w:t>
            </w: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0.22</w:t>
            </w:r>
          </w:p>
        </w:tc>
        <w:tc>
          <w:tcPr>
            <w:tcW w:w="4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50"/>
              <w:spacing w:after="0"/>
              <w:rPr>
                <w:sz w:val="20"/>
                <w:szCs w:val="20"/>
                <w:color w:val="auto"/>
              </w:rPr>
            </w:pPr>
            <w:r>
              <w:rPr>
                <w:rFonts w:ascii="Arial" w:cs="Arial" w:eastAsia="Arial" w:hAnsi="Arial"/>
                <w:sz w:val="18"/>
                <w:szCs w:val="18"/>
                <w:color w:val="auto"/>
              </w:rPr>
              <w:t>(0.14)</w:t>
            </w:r>
          </w:p>
        </w:tc>
        <w:tc>
          <w:tcPr>
            <w:tcW w:w="300" w:type="dxa"/>
            <w:vAlign w:val="bottom"/>
          </w:tcPr>
          <w:p>
            <w:pPr>
              <w:spacing w:after="0"/>
              <w:rPr>
                <w:sz w:val="21"/>
                <w:szCs w:val="21"/>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0.38</w:t>
            </w:r>
          </w:p>
        </w:tc>
      </w:tr>
      <w:tr>
        <w:trPr>
          <w:trHeight w:val="243"/>
        </w:trPr>
        <w:tc>
          <w:tcPr>
            <w:tcW w:w="6060" w:type="dxa"/>
            <w:vAlign w:val="bottom"/>
          </w:tcPr>
          <w:p>
            <w:pPr>
              <w:ind w:left="220"/>
              <w:spacing w:after="0"/>
              <w:rPr>
                <w:sz w:val="20"/>
                <w:szCs w:val="20"/>
                <w:color w:val="auto"/>
              </w:rPr>
            </w:pPr>
            <w:r>
              <w:rPr>
                <w:rFonts w:ascii="Arial" w:cs="Arial" w:eastAsia="Arial" w:hAnsi="Arial"/>
                <w:sz w:val="18"/>
                <w:szCs w:val="18"/>
                <w:color w:val="auto"/>
              </w:rPr>
              <w:t>Diluted</w:t>
            </w:r>
          </w:p>
        </w:tc>
        <w:tc>
          <w:tcPr>
            <w:tcW w:w="20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0.22</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color w:val="auto"/>
              </w:rPr>
              <w:t>(0.15)</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0.37</w:t>
            </w:r>
          </w:p>
        </w:tc>
      </w:tr>
      <w:tr>
        <w:trPr>
          <w:trHeight w:val="486"/>
        </w:trPr>
        <w:tc>
          <w:tcPr>
            <w:tcW w:w="606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20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130,554</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130,554</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w w:val="92"/>
              </w:rPr>
              <w:t>130,554</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130,554</w:t>
            </w:r>
          </w:p>
        </w:tc>
      </w:tr>
      <w:tr>
        <w:trPr>
          <w:trHeight w:val="243"/>
        </w:trPr>
        <w:tc>
          <w:tcPr>
            <w:tcW w:w="606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20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131,148</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131,148</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w w:val="92"/>
              </w:rPr>
              <w:t>131,148</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131,148</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ind w:left="22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660" w:hanging="24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realignment adjustments incurred as a result of realignment programs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420" w:right="100" w:hanging="7"/>
        <w:spacing w:after="0" w:line="260" w:lineRule="auto"/>
        <w:tabs>
          <w:tab w:leader="none" w:pos="675"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the reserve of Russia related financial exposures and a discrete asset write-down. The impact of $5.4 million of previously recognized revenue and estimated cancellation fees on open contracts that were previously accounted for under POC and subsequently canceled have been reflected in the above adjustment to gross profit</w:t>
      </w:r>
    </w:p>
    <w:p>
      <w:pPr>
        <w:spacing w:after="0" w:line="2" w:lineRule="exact"/>
        <w:rPr>
          <w:rFonts w:ascii="Arial" w:cs="Arial" w:eastAsia="Arial" w:hAnsi="Arial"/>
          <w:sz w:val="18"/>
          <w:szCs w:val="18"/>
          <w:color w:val="auto"/>
        </w:rPr>
      </w:pPr>
    </w:p>
    <w:p>
      <w:pPr>
        <w:ind w:left="660" w:hanging="24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78" w:right="3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0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266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w w:val="92"/>
              </w:rPr>
              <w:t>Six Months Ended June 30, 2021</w:t>
            </w: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r>
      <w:tr>
        <w:trPr>
          <w:trHeight w:val="243"/>
        </w:trPr>
        <w:tc>
          <w:tcPr>
            <w:tcW w:w="606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124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1"/>
              </w:rPr>
              <w:t>As Reported (a)</w:t>
            </w:r>
          </w:p>
        </w:tc>
        <w:tc>
          <w:tcPr>
            <w:tcW w:w="140" w:type="dxa"/>
            <w:vAlign w:val="bottom"/>
          </w:tcPr>
          <w:p>
            <w:pPr>
              <w:spacing w:after="0"/>
              <w:rPr>
                <w:sz w:val="21"/>
                <w:szCs w:val="21"/>
                <w:color w:val="auto"/>
              </w:rPr>
            </w:pPr>
          </w:p>
        </w:tc>
        <w:tc>
          <w:tcPr>
            <w:tcW w:w="12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w w:val="90"/>
              </w:rPr>
              <w:t>Realignment (1)</w:t>
            </w:r>
          </w:p>
        </w:tc>
        <w:tc>
          <w:tcPr>
            <w:tcW w:w="300" w:type="dxa"/>
            <w:vAlign w:val="bottom"/>
          </w:tcPr>
          <w:p>
            <w:pPr>
              <w:spacing w:after="0"/>
              <w:rPr>
                <w:sz w:val="21"/>
                <w:szCs w:val="21"/>
                <w:color w:val="auto"/>
              </w:rPr>
            </w:pPr>
          </w:p>
        </w:tc>
        <w:tc>
          <w:tcPr>
            <w:tcW w:w="96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3"/>
              </w:rPr>
              <w:t>Other Items</w:t>
            </w:r>
          </w:p>
        </w:tc>
        <w:tc>
          <w:tcPr>
            <w:tcW w:w="300" w:type="dxa"/>
            <w:vAlign w:val="bottom"/>
          </w:tcPr>
          <w:p>
            <w:pPr>
              <w:spacing w:after="0"/>
              <w:rPr>
                <w:sz w:val="21"/>
                <w:szCs w:val="21"/>
                <w:color w:val="auto"/>
              </w:rPr>
            </w:pPr>
          </w:p>
        </w:tc>
        <w:tc>
          <w:tcPr>
            <w:tcW w:w="98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1"/>
              </w:rPr>
              <w:t>As Adjusted</w:t>
            </w:r>
          </w:p>
        </w:tc>
      </w:tr>
      <w:tr>
        <w:trPr>
          <w:trHeight w:val="466"/>
        </w:trPr>
        <w:tc>
          <w:tcPr>
            <w:tcW w:w="6060" w:type="dxa"/>
            <w:vAlign w:val="bottom"/>
          </w:tcPr>
          <w:p>
            <w:pPr>
              <w:spacing w:after="0"/>
              <w:rPr>
                <w:sz w:val="20"/>
                <w:szCs w:val="20"/>
                <w:color w:val="auto"/>
              </w:rPr>
            </w:pPr>
            <w:r>
              <w:rPr>
                <w:rFonts w:ascii="Arial" w:cs="Arial" w:eastAsia="Arial" w:hAnsi="Arial"/>
                <w:sz w:val="18"/>
                <w:szCs w:val="18"/>
                <w:color w:val="auto"/>
              </w:rPr>
              <w:t>Sales</w:t>
            </w: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color w:val="auto"/>
                <w:w w:val="99"/>
              </w:rPr>
              <w:t>1,755,486</w:t>
            </w:r>
          </w:p>
        </w:tc>
        <w:tc>
          <w:tcPr>
            <w:tcW w:w="4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70"/>
              <w:spacing w:after="0"/>
              <w:rPr>
                <w:sz w:val="20"/>
                <w:szCs w:val="20"/>
                <w:color w:val="auto"/>
              </w:rPr>
            </w:pPr>
            <w:r>
              <w:rPr>
                <w:rFonts w:ascii="Arial" w:cs="Arial" w:eastAsia="Arial" w:hAnsi="Arial"/>
                <w:sz w:val="18"/>
                <w:szCs w:val="18"/>
                <w:color w:val="auto"/>
                <w:w w:val="87"/>
              </w:rPr>
              <w:t>1,755,486</w:t>
            </w:r>
          </w:p>
        </w:tc>
      </w:tr>
      <w:tr>
        <w:trPr>
          <w:trHeight w:val="243"/>
        </w:trPr>
        <w:tc>
          <w:tcPr>
            <w:tcW w:w="6060" w:type="dxa"/>
            <w:vAlign w:val="bottom"/>
          </w:tcPr>
          <w:p>
            <w:pPr>
              <w:spacing w:after="0"/>
              <w:rPr>
                <w:sz w:val="20"/>
                <w:szCs w:val="20"/>
                <w:color w:val="auto"/>
              </w:rPr>
            </w:pPr>
            <w:r>
              <w:rPr>
                <w:rFonts w:ascii="Arial" w:cs="Arial" w:eastAsia="Arial" w:hAnsi="Arial"/>
                <w:sz w:val="18"/>
                <w:szCs w:val="18"/>
                <w:color w:val="auto"/>
              </w:rPr>
              <w:t>Gross profit</w:t>
            </w:r>
          </w:p>
        </w:tc>
        <w:tc>
          <w:tcPr>
            <w:tcW w:w="20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529,138</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(13,231)</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542,369</w:t>
            </w:r>
          </w:p>
        </w:tc>
      </w:tr>
      <w:tr>
        <w:trPr>
          <w:trHeight w:val="243"/>
        </w:trPr>
        <w:tc>
          <w:tcPr>
            <w:tcW w:w="6060" w:type="dxa"/>
            <w:vAlign w:val="bottom"/>
          </w:tcPr>
          <w:p>
            <w:pPr>
              <w:ind w:left="620"/>
              <w:spacing w:after="0"/>
              <w:rPr>
                <w:sz w:val="20"/>
                <w:szCs w:val="20"/>
                <w:color w:val="auto"/>
              </w:rPr>
            </w:pPr>
            <w:r>
              <w:rPr>
                <w:rFonts w:ascii="Arial" w:cs="Arial" w:eastAsia="Arial" w:hAnsi="Arial"/>
                <w:sz w:val="18"/>
                <w:szCs w:val="18"/>
                <w:i w:val="1"/>
                <w:iCs w:val="1"/>
                <w:color w:val="auto"/>
              </w:rPr>
              <w:t>Gross margin</w:t>
            </w:r>
          </w:p>
        </w:tc>
        <w:tc>
          <w:tcPr>
            <w:tcW w:w="2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30.1%</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30.9%</w:t>
            </w:r>
          </w:p>
        </w:tc>
      </w:tr>
      <w:tr>
        <w:trPr>
          <w:trHeight w:val="486"/>
        </w:trPr>
        <w:tc>
          <w:tcPr>
            <w:tcW w:w="606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20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(409,104)</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(6,086)</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w w:val="98"/>
              </w:rPr>
              <w:t>(403,018)</w:t>
            </w:r>
          </w:p>
        </w:tc>
      </w:tr>
      <w:tr>
        <w:trPr>
          <w:trHeight w:val="243"/>
        </w:trPr>
        <w:tc>
          <w:tcPr>
            <w:tcW w:w="6060" w:type="dxa"/>
            <w:vAlign w:val="bottom"/>
          </w:tcPr>
          <w:p>
            <w:pPr>
              <w:ind w:left="220"/>
              <w:spacing w:after="0"/>
              <w:rPr>
                <w:sz w:val="20"/>
                <w:szCs w:val="20"/>
                <w:color w:val="auto"/>
              </w:rPr>
            </w:pPr>
            <w:r>
              <w:rPr>
                <w:rFonts w:ascii="Arial" w:cs="Arial" w:eastAsia="Arial" w:hAnsi="Arial"/>
                <w:sz w:val="18"/>
                <w:szCs w:val="18"/>
                <w:color w:val="auto"/>
              </w:rPr>
              <w:t>Gain on sale of business</w:t>
            </w:r>
          </w:p>
        </w:tc>
        <w:tc>
          <w:tcPr>
            <w:tcW w:w="20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1,806</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1,806</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(3)</w:t>
            </w:r>
          </w:p>
        </w:tc>
        <w:tc>
          <w:tcPr>
            <w:tcW w:w="100" w:type="dxa"/>
            <w:vAlign w:val="bottom"/>
          </w:tcPr>
          <w:p>
            <w:pPr>
              <w:spacing w:after="0"/>
              <w:rPr>
                <w:sz w:val="21"/>
                <w:szCs w:val="21"/>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w:t>
            </w:r>
          </w:p>
        </w:tc>
      </w:tr>
      <w:tr>
        <w:trPr>
          <w:trHeight w:val="257"/>
        </w:trPr>
        <w:tc>
          <w:tcPr>
            <w:tcW w:w="606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2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color w:val="auto"/>
              </w:rPr>
              <w:t>6,425</w:t>
            </w:r>
          </w:p>
        </w:tc>
        <w:tc>
          <w:tcPr>
            <w:tcW w:w="14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6,425</w:t>
            </w:r>
          </w:p>
        </w:tc>
      </w:tr>
      <w:tr>
        <w:trPr>
          <w:trHeight w:val="466"/>
        </w:trPr>
        <w:tc>
          <w:tcPr>
            <w:tcW w:w="6060" w:type="dxa"/>
            <w:vAlign w:val="bottom"/>
          </w:tcPr>
          <w:p>
            <w:pPr>
              <w:spacing w:after="0"/>
              <w:rPr>
                <w:sz w:val="20"/>
                <w:szCs w:val="20"/>
                <w:color w:val="auto"/>
              </w:rPr>
            </w:pPr>
            <w:r>
              <w:rPr>
                <w:rFonts w:ascii="Arial" w:cs="Arial" w:eastAsia="Arial" w:hAnsi="Arial"/>
                <w:sz w:val="18"/>
                <w:szCs w:val="18"/>
                <w:color w:val="auto"/>
              </w:rPr>
              <w:t>Operating income</w:t>
            </w:r>
          </w:p>
        </w:tc>
        <w:tc>
          <w:tcPr>
            <w:tcW w:w="20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128,265</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(19,317)</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1,806</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145,776</w:t>
            </w:r>
          </w:p>
        </w:tc>
      </w:tr>
      <w:tr>
        <w:trPr>
          <w:trHeight w:val="243"/>
        </w:trPr>
        <w:tc>
          <w:tcPr>
            <w:tcW w:w="6060" w:type="dxa"/>
            <w:vAlign w:val="bottom"/>
          </w:tcPr>
          <w:p>
            <w:pPr>
              <w:ind w:left="620"/>
              <w:spacing w:after="0"/>
              <w:rPr>
                <w:sz w:val="20"/>
                <w:szCs w:val="20"/>
                <w:color w:val="auto"/>
              </w:rPr>
            </w:pPr>
            <w:r>
              <w:rPr>
                <w:rFonts w:ascii="Arial" w:cs="Arial" w:eastAsia="Arial" w:hAnsi="Arial"/>
                <w:sz w:val="18"/>
                <w:szCs w:val="18"/>
                <w:i w:val="1"/>
                <w:iCs w:val="1"/>
                <w:color w:val="auto"/>
              </w:rPr>
              <w:t>Operating income as a percentage of sales</w:t>
            </w:r>
          </w:p>
        </w:tc>
        <w:tc>
          <w:tcPr>
            <w:tcW w:w="2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7.3%</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i w:val="1"/>
                <w:iCs w:val="1"/>
                <w:color w:val="auto"/>
              </w:rPr>
              <w:t>-</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8.3%</w:t>
            </w:r>
          </w:p>
        </w:tc>
      </w:tr>
      <w:tr>
        <w:trPr>
          <w:trHeight w:val="499"/>
        </w:trPr>
        <w:tc>
          <w:tcPr>
            <w:tcW w:w="6060" w:type="dxa"/>
            <w:vAlign w:val="bottom"/>
          </w:tcPr>
          <w:p>
            <w:pPr>
              <w:ind w:left="220"/>
              <w:spacing w:after="0"/>
              <w:rPr>
                <w:sz w:val="20"/>
                <w:szCs w:val="20"/>
                <w:color w:val="auto"/>
              </w:rPr>
            </w:pPr>
            <w:r>
              <w:rPr>
                <w:rFonts w:ascii="Arial" w:cs="Arial" w:eastAsia="Arial" w:hAnsi="Arial"/>
                <w:sz w:val="18"/>
                <w:szCs w:val="18"/>
                <w:color w:val="auto"/>
              </w:rPr>
              <w:t>Interest and other expense, net</w:t>
            </w:r>
          </w:p>
        </w:tc>
        <w:tc>
          <w:tcPr>
            <w:tcW w:w="2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(56,857)</w:t>
            </w:r>
          </w:p>
        </w:tc>
        <w:tc>
          <w:tcPr>
            <w:tcW w:w="14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8"/>
              </w:rPr>
              <w:t>(21,313)</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(4)</w:t>
            </w:r>
          </w:p>
        </w:tc>
        <w:tc>
          <w:tcPr>
            <w:tcW w:w="1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(35,544)</w:t>
            </w:r>
          </w:p>
        </w:tc>
      </w:tr>
      <w:tr>
        <w:trPr>
          <w:trHeight w:val="466"/>
        </w:trPr>
        <w:tc>
          <w:tcPr>
            <w:tcW w:w="606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20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71,408</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(19,317)</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color w:val="auto"/>
                <w:w w:val="98"/>
              </w:rPr>
              <w:t>(19,507)</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110,232</w:t>
            </w:r>
          </w:p>
        </w:tc>
      </w:tr>
      <w:tr>
        <w:trPr>
          <w:trHeight w:val="243"/>
        </w:trPr>
        <w:tc>
          <w:tcPr>
            <w:tcW w:w="606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00" w:type="dxa"/>
            <w:vAlign w:val="bottom"/>
          </w:tcPr>
          <w:p>
            <w:pPr>
              <w:spacing w:after="0"/>
              <w:rPr>
                <w:sz w:val="21"/>
                <w:szCs w:val="21"/>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(6,503)</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7,842</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(2)</w:t>
            </w:r>
          </w:p>
        </w:tc>
        <w:tc>
          <w:tcPr>
            <w:tcW w:w="14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5,799</w:t>
            </w:r>
          </w:p>
        </w:tc>
        <w:tc>
          <w:tcPr>
            <w:tcW w:w="300" w:type="dxa"/>
            <w:vAlign w:val="bottom"/>
          </w:tcPr>
          <w:p>
            <w:pPr>
              <w:jc w:val="right"/>
              <w:spacing w:after="0"/>
              <w:rPr>
                <w:sz w:val="20"/>
                <w:szCs w:val="20"/>
                <w:color w:val="auto"/>
              </w:rPr>
            </w:pPr>
            <w:r>
              <w:rPr>
                <w:rFonts w:ascii="Arial" w:cs="Arial" w:eastAsia="Arial" w:hAnsi="Arial"/>
                <w:sz w:val="18"/>
                <w:szCs w:val="18"/>
                <w:color w:val="auto"/>
                <w:w w:val="90"/>
              </w:rPr>
              <w:t>(5)</w:t>
            </w:r>
          </w:p>
        </w:tc>
        <w:tc>
          <w:tcPr>
            <w:tcW w:w="10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(20,144)</w:t>
            </w:r>
          </w:p>
        </w:tc>
      </w:tr>
      <w:tr>
        <w:trPr>
          <w:trHeight w:val="243"/>
        </w:trPr>
        <w:tc>
          <w:tcPr>
            <w:tcW w:w="6060" w:type="dxa"/>
            <w:vAlign w:val="bottom"/>
          </w:tcPr>
          <w:p>
            <w:pPr>
              <w:ind w:left="620"/>
              <w:spacing w:after="0"/>
              <w:rPr>
                <w:sz w:val="20"/>
                <w:szCs w:val="20"/>
                <w:color w:val="auto"/>
              </w:rPr>
            </w:pPr>
            <w:r>
              <w:rPr>
                <w:rFonts w:ascii="Arial" w:cs="Arial" w:eastAsia="Arial" w:hAnsi="Arial"/>
                <w:sz w:val="18"/>
                <w:szCs w:val="18"/>
                <w:i w:val="1"/>
                <w:iCs w:val="1"/>
                <w:color w:val="auto"/>
              </w:rPr>
              <w:t>Tax Rate</w:t>
            </w:r>
          </w:p>
        </w:tc>
        <w:tc>
          <w:tcPr>
            <w:tcW w:w="2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9.1%</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i w:val="1"/>
                <w:iCs w:val="1"/>
                <w:color w:val="auto"/>
              </w:rPr>
              <w:t>40.6%</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i w:val="1"/>
                <w:iCs w:val="1"/>
                <w:color w:val="auto"/>
              </w:rPr>
              <w:t>29.7%</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i w:val="1"/>
                <w:iCs w:val="1"/>
                <w:color w:val="auto"/>
              </w:rPr>
              <w:t>18.3%</w:t>
            </w:r>
          </w:p>
        </w:tc>
      </w:tr>
      <w:tr>
        <w:trPr>
          <w:trHeight w:val="486"/>
        </w:trPr>
        <w:tc>
          <w:tcPr>
            <w:tcW w:w="606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200" w:type="dxa"/>
            <w:vAlign w:val="bottom"/>
          </w:tcPr>
          <w:p>
            <w:pPr>
              <w:ind w:left="2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b w:val="1"/>
                <w:bCs w:val="1"/>
                <w:color w:val="auto"/>
              </w:rPr>
              <w:t>59,434</w:t>
            </w:r>
          </w:p>
        </w:tc>
        <w:tc>
          <w:tcPr>
            <w:tcW w:w="42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90"/>
              <w:spacing w:after="0"/>
              <w:rPr>
                <w:sz w:val="20"/>
                <w:szCs w:val="20"/>
                <w:color w:val="auto"/>
              </w:rPr>
            </w:pPr>
            <w:r>
              <w:rPr>
                <w:rFonts w:ascii="Arial" w:cs="Arial" w:eastAsia="Arial" w:hAnsi="Arial"/>
                <w:sz w:val="18"/>
                <w:szCs w:val="18"/>
                <w:b w:val="1"/>
                <w:bCs w:val="1"/>
                <w:color w:val="auto"/>
              </w:rPr>
              <w:t>(11,475)</w:t>
            </w:r>
          </w:p>
        </w:tc>
        <w:tc>
          <w:tcPr>
            <w:tcW w:w="300" w:type="dxa"/>
            <w:vAlign w:val="bottom"/>
          </w:tcPr>
          <w:p>
            <w:pPr>
              <w:spacing w:after="0"/>
              <w:rPr>
                <w:sz w:val="24"/>
                <w:szCs w:val="24"/>
                <w:color w:val="auto"/>
              </w:rPr>
            </w:pPr>
          </w:p>
        </w:tc>
        <w:tc>
          <w:tcPr>
            <w:tcW w:w="140" w:type="dxa"/>
            <w:vAlign w:val="bottom"/>
          </w:tcPr>
          <w:p>
            <w:pPr>
              <w:spacing w:after="0"/>
              <w:rPr>
                <w:sz w:val="20"/>
                <w:szCs w:val="20"/>
                <w:color w:val="auto"/>
              </w:rPr>
            </w:pPr>
            <w:r>
              <w:rPr>
                <w:rFonts w:ascii="Arial" w:cs="Arial" w:eastAsia="Arial" w:hAnsi="Arial"/>
                <w:sz w:val="18"/>
                <w:szCs w:val="18"/>
                <w:b w:val="1"/>
                <w:bCs w:val="1"/>
                <w:color w:val="auto"/>
              </w:rPr>
              <w:t>$</w:t>
            </w:r>
          </w:p>
        </w:tc>
        <w:tc>
          <w:tcPr>
            <w:tcW w:w="820" w:type="dxa"/>
            <w:vAlign w:val="bottom"/>
          </w:tcPr>
          <w:p>
            <w:pPr>
              <w:jc w:val="right"/>
              <w:ind w:right="50"/>
              <w:spacing w:after="0"/>
              <w:rPr>
                <w:sz w:val="20"/>
                <w:szCs w:val="20"/>
                <w:color w:val="auto"/>
              </w:rPr>
            </w:pPr>
            <w:r>
              <w:rPr>
                <w:rFonts w:ascii="Arial" w:cs="Arial" w:eastAsia="Arial" w:hAnsi="Arial"/>
                <w:sz w:val="18"/>
                <w:szCs w:val="18"/>
                <w:b w:val="1"/>
                <w:bCs w:val="1"/>
                <w:color w:val="auto"/>
                <w:w w:val="98"/>
              </w:rPr>
              <w:t>(13,708)</w:t>
            </w:r>
          </w:p>
        </w:tc>
        <w:tc>
          <w:tcPr>
            <w:tcW w:w="300" w:type="dxa"/>
            <w:vAlign w:val="bottom"/>
          </w:tcPr>
          <w:p>
            <w:pPr>
              <w:spacing w:after="0"/>
              <w:rPr>
                <w:sz w:val="24"/>
                <w:szCs w:val="24"/>
                <w:color w:val="auto"/>
              </w:rPr>
            </w:pPr>
          </w:p>
        </w:tc>
        <w:tc>
          <w:tcPr>
            <w:tcW w:w="100" w:type="dxa"/>
            <w:vAlign w:val="bottom"/>
          </w:tcPr>
          <w:p>
            <w:pPr>
              <w:spacing w:after="0"/>
              <w:rPr>
                <w:sz w:val="20"/>
                <w:szCs w:val="20"/>
                <w:color w:val="auto"/>
              </w:rPr>
            </w:pPr>
            <w:r>
              <w:rPr>
                <w:rFonts w:ascii="Arial" w:cs="Arial" w:eastAsia="Arial" w:hAnsi="Arial"/>
                <w:sz w:val="18"/>
                <w:szCs w:val="18"/>
                <w:b w:val="1"/>
                <w:bCs w:val="1"/>
                <w:color w:val="auto"/>
                <w:w w:val="79"/>
              </w:rPr>
              <w:t>$</w:t>
            </w:r>
          </w:p>
        </w:tc>
        <w:tc>
          <w:tcPr>
            <w:tcW w:w="880" w:type="dxa"/>
            <w:vAlign w:val="bottom"/>
          </w:tcPr>
          <w:p>
            <w:pPr>
              <w:jc w:val="right"/>
              <w:ind w:right="70"/>
              <w:spacing w:after="0"/>
              <w:rPr>
                <w:sz w:val="20"/>
                <w:szCs w:val="20"/>
                <w:color w:val="auto"/>
              </w:rPr>
            </w:pPr>
            <w:r>
              <w:rPr>
                <w:rFonts w:ascii="Arial" w:cs="Arial" w:eastAsia="Arial" w:hAnsi="Arial"/>
                <w:sz w:val="18"/>
                <w:szCs w:val="18"/>
                <w:b w:val="1"/>
                <w:bCs w:val="1"/>
                <w:color w:val="auto"/>
              </w:rPr>
              <w:t>84,617</w:t>
            </w:r>
          </w:p>
        </w:tc>
      </w:tr>
      <w:tr>
        <w:trPr>
          <w:trHeight w:val="472"/>
        </w:trPr>
        <w:tc>
          <w:tcPr>
            <w:tcW w:w="6060" w:type="dxa"/>
            <w:vAlign w:val="bottom"/>
          </w:tcPr>
          <w:p>
            <w:pPr>
              <w:spacing w:after="0"/>
              <w:rPr>
                <w:sz w:val="20"/>
                <w:szCs w:val="20"/>
                <w:color w:val="auto"/>
              </w:rPr>
            </w:pPr>
            <w:r>
              <w:rPr>
                <w:rFonts w:ascii="Arial" w:cs="Arial" w:eastAsia="Arial" w:hAnsi="Arial"/>
                <w:sz w:val="18"/>
                <w:szCs w:val="18"/>
                <w:color w:val="auto"/>
              </w:rPr>
              <w:t>Net earnings per share attributable to Flowserve Corporation common</w:t>
            </w: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30"/>
        </w:trPr>
        <w:tc>
          <w:tcPr>
            <w:tcW w:w="6060" w:type="dxa"/>
            <w:vAlign w:val="bottom"/>
          </w:tcPr>
          <w:p>
            <w:pPr>
              <w:spacing w:after="0"/>
              <w:rPr>
                <w:sz w:val="20"/>
                <w:szCs w:val="20"/>
                <w:color w:val="auto"/>
              </w:rPr>
            </w:pPr>
            <w:r>
              <w:rPr>
                <w:rFonts w:ascii="Arial" w:cs="Arial" w:eastAsia="Arial" w:hAnsi="Arial"/>
                <w:sz w:val="18"/>
                <w:szCs w:val="18"/>
                <w:color w:val="auto"/>
              </w:rPr>
              <w:t>shareholders:</w:t>
            </w:r>
          </w:p>
        </w:tc>
        <w:tc>
          <w:tcPr>
            <w:tcW w:w="2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r>
      <w:tr>
        <w:trPr>
          <w:trHeight w:val="243"/>
        </w:trPr>
        <w:tc>
          <w:tcPr>
            <w:tcW w:w="6060" w:type="dxa"/>
            <w:vAlign w:val="bottom"/>
          </w:tcPr>
          <w:p>
            <w:pPr>
              <w:ind w:left="220"/>
              <w:spacing w:after="0"/>
              <w:rPr>
                <w:sz w:val="20"/>
                <w:szCs w:val="20"/>
                <w:color w:val="auto"/>
              </w:rPr>
            </w:pPr>
            <w:r>
              <w:rPr>
                <w:rFonts w:ascii="Arial" w:cs="Arial" w:eastAsia="Arial" w:hAnsi="Arial"/>
                <w:sz w:val="18"/>
                <w:szCs w:val="18"/>
                <w:color w:val="auto"/>
              </w:rPr>
              <w:t>Basic</w:t>
            </w: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0.46</w:t>
            </w:r>
          </w:p>
        </w:tc>
        <w:tc>
          <w:tcPr>
            <w:tcW w:w="4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(0.09)</w:t>
            </w:r>
          </w:p>
        </w:tc>
        <w:tc>
          <w:tcPr>
            <w:tcW w:w="300" w:type="dxa"/>
            <w:vAlign w:val="bottom"/>
          </w:tcPr>
          <w:p>
            <w:pPr>
              <w:spacing w:after="0"/>
              <w:rPr>
                <w:sz w:val="21"/>
                <w:szCs w:val="21"/>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50"/>
              <w:spacing w:after="0"/>
              <w:rPr>
                <w:sz w:val="20"/>
                <w:szCs w:val="20"/>
                <w:color w:val="auto"/>
              </w:rPr>
            </w:pPr>
            <w:r>
              <w:rPr>
                <w:rFonts w:ascii="Arial" w:cs="Arial" w:eastAsia="Arial" w:hAnsi="Arial"/>
                <w:sz w:val="18"/>
                <w:szCs w:val="18"/>
                <w:color w:val="auto"/>
              </w:rPr>
              <w:t>(0.11)</w:t>
            </w:r>
          </w:p>
        </w:tc>
        <w:tc>
          <w:tcPr>
            <w:tcW w:w="300" w:type="dxa"/>
            <w:vAlign w:val="bottom"/>
          </w:tcPr>
          <w:p>
            <w:pPr>
              <w:spacing w:after="0"/>
              <w:rPr>
                <w:sz w:val="21"/>
                <w:szCs w:val="21"/>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0.65</w:t>
            </w:r>
          </w:p>
        </w:tc>
      </w:tr>
      <w:tr>
        <w:trPr>
          <w:trHeight w:val="243"/>
        </w:trPr>
        <w:tc>
          <w:tcPr>
            <w:tcW w:w="6060" w:type="dxa"/>
            <w:vAlign w:val="bottom"/>
          </w:tcPr>
          <w:p>
            <w:pPr>
              <w:ind w:left="220"/>
              <w:spacing w:after="0"/>
              <w:rPr>
                <w:sz w:val="20"/>
                <w:szCs w:val="20"/>
                <w:color w:val="auto"/>
              </w:rPr>
            </w:pPr>
            <w:r>
              <w:rPr>
                <w:rFonts w:ascii="Arial" w:cs="Arial" w:eastAsia="Arial" w:hAnsi="Arial"/>
                <w:sz w:val="18"/>
                <w:szCs w:val="18"/>
                <w:color w:val="auto"/>
              </w:rPr>
              <w:t>Diluted</w:t>
            </w:r>
          </w:p>
        </w:tc>
        <w:tc>
          <w:tcPr>
            <w:tcW w:w="20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0.45</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90"/>
              <w:spacing w:after="0"/>
              <w:rPr>
                <w:sz w:val="20"/>
                <w:szCs w:val="20"/>
                <w:color w:val="auto"/>
              </w:rPr>
            </w:pPr>
            <w:r>
              <w:rPr>
                <w:rFonts w:ascii="Arial" w:cs="Arial" w:eastAsia="Arial" w:hAnsi="Arial"/>
                <w:sz w:val="18"/>
                <w:szCs w:val="18"/>
                <w:color w:val="auto"/>
              </w:rPr>
              <w:t>(0.09)</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50"/>
              <w:spacing w:after="0"/>
              <w:rPr>
                <w:sz w:val="20"/>
                <w:szCs w:val="20"/>
                <w:color w:val="auto"/>
              </w:rPr>
            </w:pPr>
            <w:r>
              <w:rPr>
                <w:rFonts w:ascii="Arial" w:cs="Arial" w:eastAsia="Arial" w:hAnsi="Arial"/>
                <w:sz w:val="18"/>
                <w:szCs w:val="18"/>
                <w:color w:val="auto"/>
              </w:rPr>
              <w:t>(0.10)</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0.65</w:t>
            </w:r>
          </w:p>
        </w:tc>
      </w:tr>
      <w:tr>
        <w:trPr>
          <w:trHeight w:val="486"/>
        </w:trPr>
        <w:tc>
          <w:tcPr>
            <w:tcW w:w="606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20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130,366</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130,366</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w w:val="92"/>
              </w:rPr>
              <w:t>130,366</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130,366</w:t>
            </w:r>
          </w:p>
        </w:tc>
      </w:tr>
      <w:tr>
        <w:trPr>
          <w:trHeight w:val="243"/>
        </w:trPr>
        <w:tc>
          <w:tcPr>
            <w:tcW w:w="606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20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130,905</w:t>
            </w:r>
          </w:p>
        </w:tc>
        <w:tc>
          <w:tcPr>
            <w:tcW w:w="1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50"/>
              <w:spacing w:after="0"/>
              <w:rPr>
                <w:sz w:val="20"/>
                <w:szCs w:val="20"/>
                <w:color w:val="auto"/>
              </w:rPr>
            </w:pPr>
            <w:r>
              <w:rPr>
                <w:rFonts w:ascii="Arial" w:cs="Arial" w:eastAsia="Arial" w:hAnsi="Arial"/>
                <w:sz w:val="18"/>
                <w:szCs w:val="18"/>
                <w:color w:val="auto"/>
              </w:rPr>
              <w:t>130,905</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110"/>
              <w:spacing w:after="0"/>
              <w:rPr>
                <w:sz w:val="20"/>
                <w:szCs w:val="20"/>
                <w:color w:val="auto"/>
              </w:rPr>
            </w:pPr>
            <w:r>
              <w:rPr>
                <w:rFonts w:ascii="Arial" w:cs="Arial" w:eastAsia="Arial" w:hAnsi="Arial"/>
                <w:sz w:val="18"/>
                <w:szCs w:val="18"/>
                <w:color w:val="auto"/>
                <w:w w:val="92"/>
              </w:rPr>
              <w:t>130,905</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80" w:type="dxa"/>
            <w:vAlign w:val="bottom"/>
          </w:tcPr>
          <w:p>
            <w:pPr>
              <w:jc w:val="right"/>
              <w:ind w:right="70"/>
              <w:spacing w:after="0"/>
              <w:rPr>
                <w:sz w:val="20"/>
                <w:szCs w:val="20"/>
                <w:color w:val="auto"/>
              </w:rPr>
            </w:pPr>
            <w:r>
              <w:rPr>
                <w:rFonts w:ascii="Arial" w:cs="Arial" w:eastAsia="Arial" w:hAnsi="Arial"/>
                <w:sz w:val="18"/>
                <w:szCs w:val="18"/>
                <w:color w:val="auto"/>
              </w:rPr>
              <w:t>130,905</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ind w:left="220"/>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660" w:hanging="247"/>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tax impact of items above and realignment related tax release</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final settlement gain on sale of business in 2018</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Represents below-the-line foreign exchange impacts and $7.6 million of expense as a result of early extinguishment of debt</w:t>
      </w:r>
    </w:p>
    <w:p>
      <w:pPr>
        <w:spacing w:after="0" w:line="36" w:lineRule="exact"/>
        <w:rPr>
          <w:rFonts w:ascii="Arial" w:cs="Arial" w:eastAsia="Arial" w:hAnsi="Arial"/>
          <w:sz w:val="18"/>
          <w:szCs w:val="18"/>
          <w:color w:val="auto"/>
        </w:rPr>
      </w:pPr>
    </w:p>
    <w:p>
      <w:pPr>
        <w:ind w:left="660" w:hanging="247"/>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Includes tax impact of items above and $1.3 million benefit related to legal entity simplification and restructuring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78" w:right="3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SEGMENT INFORMATION</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3700" w:type="dxa"/>
            <w:vAlign w:val="bottom"/>
          </w:tcPr>
          <w:p>
            <w:pPr>
              <w:spacing w:after="0"/>
              <w:rPr>
                <w:sz w:val="20"/>
                <w:szCs w:val="20"/>
                <w:color w:val="auto"/>
              </w:rPr>
            </w:pPr>
            <w:r>
              <w:rPr>
                <w:rFonts w:ascii="Arial" w:cs="Arial" w:eastAsia="Arial" w:hAnsi="Arial"/>
                <w:sz w:val="18"/>
                <w:szCs w:val="18"/>
                <w:b w:val="1"/>
                <w:bCs w:val="1"/>
                <w:color w:val="auto"/>
              </w:rPr>
              <w:t>FLOWSERVE PUMP DIVISION</w:t>
            </w:r>
          </w:p>
        </w:tc>
        <w:tc>
          <w:tcPr>
            <w:tcW w:w="21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89"/>
              </w:rPr>
              <w:t>Six Months Ended June 30,</w:t>
            </w:r>
          </w:p>
        </w:tc>
      </w:tr>
      <w:tr>
        <w:trPr>
          <w:trHeight w:val="237"/>
        </w:trPr>
        <w:tc>
          <w:tcPr>
            <w:tcW w:w="370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000" w:type="dxa"/>
            <w:vAlign w:val="bottom"/>
          </w:tcPr>
          <w:p>
            <w:pPr>
              <w:jc w:val="right"/>
              <w:ind w:right="290"/>
              <w:spacing w:after="0"/>
              <w:rPr>
                <w:sz w:val="20"/>
                <w:szCs w:val="20"/>
                <w:color w:val="auto"/>
              </w:rPr>
            </w:pPr>
            <w:r>
              <w:rPr>
                <w:rFonts w:ascii="Arial" w:cs="Arial" w:eastAsia="Arial" w:hAnsi="Arial"/>
                <w:sz w:val="18"/>
                <w:szCs w:val="18"/>
                <w:b w:val="1"/>
                <w:bCs w:val="1"/>
                <w:color w:val="auto"/>
              </w:rPr>
              <w:t>2022</w:t>
            </w:r>
          </w:p>
        </w:tc>
        <w:tc>
          <w:tcPr>
            <w:tcW w:w="1120" w:type="dxa"/>
            <w:vAlign w:val="bottom"/>
            <w:gridSpan w:val="2"/>
          </w:tcPr>
          <w:p>
            <w:pPr>
              <w:jc w:val="right"/>
              <w:ind w:right="310"/>
              <w:spacing w:after="0"/>
              <w:rPr>
                <w:sz w:val="20"/>
                <w:szCs w:val="20"/>
                <w:color w:val="auto"/>
              </w:rPr>
            </w:pPr>
            <w:r>
              <w:rPr>
                <w:rFonts w:ascii="Arial" w:cs="Arial" w:eastAsia="Arial" w:hAnsi="Arial"/>
                <w:sz w:val="18"/>
                <w:szCs w:val="18"/>
                <w:b w:val="1"/>
                <w:bCs w:val="1"/>
                <w:color w:val="auto"/>
              </w:rPr>
              <w:t>2021</w:t>
            </w:r>
          </w:p>
        </w:tc>
      </w:tr>
      <w:tr>
        <w:trPr>
          <w:trHeight w:val="224"/>
        </w:trPr>
        <w:tc>
          <w:tcPr>
            <w:tcW w:w="3700" w:type="dxa"/>
            <w:vAlign w:val="bottom"/>
          </w:tcPr>
          <w:p>
            <w:pPr>
              <w:spacing w:after="0"/>
              <w:rPr>
                <w:sz w:val="20"/>
                <w:szCs w:val="20"/>
                <w:color w:val="auto"/>
              </w:rPr>
            </w:pPr>
            <w:r>
              <w:rPr>
                <w:rFonts w:ascii="Arial" w:cs="Arial" w:eastAsia="Arial" w:hAnsi="Arial"/>
                <w:sz w:val="18"/>
                <w:szCs w:val="18"/>
                <w:color w:val="auto"/>
              </w:rPr>
              <w:t>Bookings</w:t>
            </w:r>
          </w:p>
        </w:tc>
        <w:tc>
          <w:tcPr>
            <w:tcW w:w="10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7"/>
              </w:rPr>
              <w:t>$  1,513.0</w:t>
            </w:r>
          </w:p>
        </w:tc>
        <w:tc>
          <w:tcPr>
            <w:tcW w:w="80" w:type="dxa"/>
            <w:vAlign w:val="bottom"/>
          </w:tcPr>
          <w:p>
            <w:pPr>
              <w:spacing w:after="0"/>
              <w:rPr>
                <w:sz w:val="19"/>
                <w:szCs w:val="19"/>
                <w:color w:val="auto"/>
              </w:rPr>
            </w:pPr>
          </w:p>
        </w:tc>
        <w:tc>
          <w:tcPr>
            <w:tcW w:w="10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  1,322.2</w:t>
            </w:r>
          </w:p>
        </w:tc>
      </w:tr>
      <w:tr>
        <w:trPr>
          <w:trHeight w:val="242"/>
        </w:trPr>
        <w:tc>
          <w:tcPr>
            <w:tcW w:w="3700" w:type="dxa"/>
            <w:vAlign w:val="bottom"/>
          </w:tcPr>
          <w:p>
            <w:pPr>
              <w:spacing w:after="0"/>
              <w:rPr>
                <w:sz w:val="20"/>
                <w:szCs w:val="20"/>
                <w:color w:val="auto"/>
              </w:rPr>
            </w:pPr>
            <w:r>
              <w:rPr>
                <w:rFonts w:ascii="Arial" w:cs="Arial" w:eastAsia="Arial" w:hAnsi="Arial"/>
                <w:sz w:val="18"/>
                <w:szCs w:val="18"/>
                <w:color w:val="auto"/>
              </w:rPr>
              <w:t>Sales</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1,190.5</w:t>
            </w:r>
          </w:p>
        </w:tc>
        <w:tc>
          <w:tcPr>
            <w:tcW w:w="1120" w:type="dxa"/>
            <w:vAlign w:val="bottom"/>
            <w:gridSpan w:val="2"/>
          </w:tcPr>
          <w:p>
            <w:pPr>
              <w:jc w:val="right"/>
              <w:ind w:right="130"/>
              <w:spacing w:after="0"/>
              <w:rPr>
                <w:sz w:val="20"/>
                <w:szCs w:val="20"/>
                <w:color w:val="auto"/>
              </w:rPr>
            </w:pPr>
            <w:r>
              <w:rPr>
                <w:rFonts w:ascii="Arial" w:cs="Arial" w:eastAsia="Arial" w:hAnsi="Arial"/>
                <w:sz w:val="18"/>
                <w:szCs w:val="18"/>
                <w:color w:val="auto"/>
              </w:rPr>
              <w:t>1,220.1</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340.9</w:t>
            </w:r>
          </w:p>
        </w:tc>
        <w:tc>
          <w:tcPr>
            <w:tcW w:w="1120" w:type="dxa"/>
            <w:vAlign w:val="bottom"/>
            <w:gridSpan w:val="2"/>
          </w:tcPr>
          <w:p>
            <w:pPr>
              <w:jc w:val="right"/>
              <w:ind w:right="130"/>
              <w:spacing w:after="0"/>
              <w:rPr>
                <w:sz w:val="20"/>
                <w:szCs w:val="20"/>
                <w:color w:val="auto"/>
              </w:rPr>
            </w:pPr>
            <w:r>
              <w:rPr>
                <w:rFonts w:ascii="Arial" w:cs="Arial" w:eastAsia="Arial" w:hAnsi="Arial"/>
                <w:sz w:val="18"/>
                <w:szCs w:val="18"/>
                <w:color w:val="auto"/>
              </w:rPr>
              <w:t>379.2</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 margin</w:t>
            </w:r>
          </w:p>
        </w:tc>
        <w:tc>
          <w:tcPr>
            <w:tcW w:w="1000" w:type="dxa"/>
            <w:vAlign w:val="bottom"/>
          </w:tcPr>
          <w:p>
            <w:pPr>
              <w:jc w:val="right"/>
              <w:spacing w:after="0"/>
              <w:rPr>
                <w:sz w:val="20"/>
                <w:szCs w:val="20"/>
                <w:color w:val="auto"/>
              </w:rPr>
            </w:pPr>
            <w:r>
              <w:rPr>
                <w:rFonts w:ascii="Arial" w:cs="Arial" w:eastAsia="Arial" w:hAnsi="Arial"/>
                <w:sz w:val="18"/>
                <w:szCs w:val="18"/>
                <w:color w:val="auto"/>
              </w:rPr>
              <w:t>28.6%</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31.1%</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SG&amp;A</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271.5</w:t>
            </w:r>
          </w:p>
        </w:tc>
        <w:tc>
          <w:tcPr>
            <w:tcW w:w="1120" w:type="dxa"/>
            <w:vAlign w:val="bottom"/>
            <w:gridSpan w:val="2"/>
          </w:tcPr>
          <w:p>
            <w:pPr>
              <w:jc w:val="right"/>
              <w:ind w:right="130"/>
              <w:spacing w:after="0"/>
              <w:rPr>
                <w:sz w:val="20"/>
                <w:szCs w:val="20"/>
                <w:color w:val="auto"/>
              </w:rPr>
            </w:pPr>
            <w:r>
              <w:rPr>
                <w:rFonts w:ascii="Arial" w:cs="Arial" w:eastAsia="Arial" w:hAnsi="Arial"/>
                <w:sz w:val="18"/>
                <w:szCs w:val="18"/>
                <w:color w:val="auto"/>
              </w:rPr>
              <w:t>266.2</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Gain on sale of business</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30"/>
              <w:spacing w:after="0"/>
              <w:rPr>
                <w:sz w:val="20"/>
                <w:szCs w:val="20"/>
                <w:color w:val="auto"/>
              </w:rPr>
            </w:pPr>
            <w:r>
              <w:rPr>
                <w:rFonts w:ascii="Arial" w:cs="Arial" w:eastAsia="Arial" w:hAnsi="Arial"/>
                <w:sz w:val="18"/>
                <w:szCs w:val="18"/>
                <w:color w:val="auto"/>
              </w:rPr>
              <w:t>1.8</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78.3</w:t>
            </w:r>
          </w:p>
        </w:tc>
        <w:tc>
          <w:tcPr>
            <w:tcW w:w="1120" w:type="dxa"/>
            <w:vAlign w:val="bottom"/>
            <w:gridSpan w:val="2"/>
          </w:tcPr>
          <w:p>
            <w:pPr>
              <w:jc w:val="right"/>
              <w:ind w:right="130"/>
              <w:spacing w:after="0"/>
              <w:rPr>
                <w:sz w:val="20"/>
                <w:szCs w:val="20"/>
                <w:color w:val="auto"/>
              </w:rPr>
            </w:pPr>
            <w:r>
              <w:rPr>
                <w:rFonts w:ascii="Arial" w:cs="Arial" w:eastAsia="Arial" w:hAnsi="Arial"/>
                <w:sz w:val="18"/>
                <w:szCs w:val="18"/>
                <w:color w:val="auto"/>
              </w:rPr>
              <w:t>121.6</w:t>
            </w: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w w:val="88"/>
              </w:rPr>
              <w:t>Segment operating income as a percentage of sales</w:t>
            </w:r>
          </w:p>
        </w:tc>
        <w:tc>
          <w:tcPr>
            <w:tcW w:w="1000" w:type="dxa"/>
            <w:vAlign w:val="bottom"/>
          </w:tcPr>
          <w:p>
            <w:pPr>
              <w:jc w:val="right"/>
              <w:spacing w:after="0"/>
              <w:rPr>
                <w:sz w:val="20"/>
                <w:szCs w:val="20"/>
                <w:color w:val="auto"/>
              </w:rPr>
            </w:pPr>
            <w:r>
              <w:rPr>
                <w:rFonts w:ascii="Arial" w:cs="Arial" w:eastAsia="Arial" w:hAnsi="Arial"/>
                <w:sz w:val="18"/>
                <w:szCs w:val="18"/>
                <w:color w:val="auto"/>
              </w:rPr>
              <w:t>6.6%</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10.0%</w:t>
            </w:r>
          </w:p>
        </w:tc>
      </w:tr>
    </w:tbl>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3700" w:type="dxa"/>
            <w:vAlign w:val="bottom"/>
          </w:tcPr>
          <w:p>
            <w:pPr>
              <w:spacing w:after="0"/>
              <w:rPr>
                <w:sz w:val="20"/>
                <w:szCs w:val="20"/>
                <w:color w:val="auto"/>
              </w:rPr>
            </w:pPr>
            <w:r>
              <w:rPr>
                <w:rFonts w:ascii="Arial" w:cs="Arial" w:eastAsia="Arial" w:hAnsi="Arial"/>
                <w:sz w:val="18"/>
                <w:szCs w:val="18"/>
                <w:b w:val="1"/>
                <w:bCs w:val="1"/>
                <w:color w:val="auto"/>
              </w:rPr>
              <w:t>FLOW CONTROL DIVISION</w:t>
            </w:r>
          </w:p>
        </w:tc>
        <w:tc>
          <w:tcPr>
            <w:tcW w:w="21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89"/>
              </w:rPr>
              <w:t>Six Months Ended June 30,</w:t>
            </w:r>
          </w:p>
        </w:tc>
        <w:tc>
          <w:tcPr>
            <w:tcW w:w="5420" w:type="dxa"/>
            <w:vAlign w:val="bottom"/>
          </w:tcPr>
          <w:p>
            <w:pPr>
              <w:spacing w:after="0"/>
              <w:rPr>
                <w:sz w:val="21"/>
                <w:szCs w:val="21"/>
                <w:color w:val="auto"/>
              </w:rPr>
            </w:pPr>
          </w:p>
        </w:tc>
      </w:tr>
      <w:tr>
        <w:trPr>
          <w:trHeight w:val="237"/>
        </w:trPr>
        <w:tc>
          <w:tcPr>
            <w:tcW w:w="370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000" w:type="dxa"/>
            <w:vAlign w:val="bottom"/>
          </w:tcPr>
          <w:p>
            <w:pPr>
              <w:jc w:val="right"/>
              <w:ind w:right="290"/>
              <w:spacing w:after="0"/>
              <w:rPr>
                <w:sz w:val="20"/>
                <w:szCs w:val="20"/>
                <w:color w:val="auto"/>
              </w:rPr>
            </w:pPr>
            <w:r>
              <w:rPr>
                <w:rFonts w:ascii="Arial" w:cs="Arial" w:eastAsia="Arial" w:hAnsi="Arial"/>
                <w:sz w:val="18"/>
                <w:szCs w:val="18"/>
                <w:b w:val="1"/>
                <w:bCs w:val="1"/>
                <w:color w:val="auto"/>
              </w:rPr>
              <w:t>2022</w:t>
            </w:r>
          </w:p>
        </w:tc>
        <w:tc>
          <w:tcPr>
            <w:tcW w:w="1120" w:type="dxa"/>
            <w:vAlign w:val="bottom"/>
            <w:gridSpan w:val="2"/>
          </w:tcPr>
          <w:p>
            <w:pPr>
              <w:jc w:val="right"/>
              <w:ind w:right="310"/>
              <w:spacing w:after="0"/>
              <w:rPr>
                <w:sz w:val="20"/>
                <w:szCs w:val="20"/>
                <w:color w:val="auto"/>
              </w:rPr>
            </w:pPr>
            <w:r>
              <w:rPr>
                <w:rFonts w:ascii="Arial" w:cs="Arial" w:eastAsia="Arial" w:hAnsi="Arial"/>
                <w:sz w:val="18"/>
                <w:szCs w:val="18"/>
                <w:b w:val="1"/>
                <w:bCs w:val="1"/>
                <w:color w:val="auto"/>
              </w:rPr>
              <w:t>2021</w:t>
            </w:r>
          </w:p>
        </w:tc>
        <w:tc>
          <w:tcPr>
            <w:tcW w:w="5420" w:type="dxa"/>
            <w:vAlign w:val="bottom"/>
          </w:tcPr>
          <w:p>
            <w:pPr>
              <w:spacing w:after="0"/>
              <w:rPr>
                <w:sz w:val="20"/>
                <w:szCs w:val="20"/>
                <w:color w:val="auto"/>
              </w:rPr>
            </w:pPr>
          </w:p>
        </w:tc>
      </w:tr>
      <w:tr>
        <w:trPr>
          <w:trHeight w:val="224"/>
        </w:trPr>
        <w:tc>
          <w:tcPr>
            <w:tcW w:w="3700" w:type="dxa"/>
            <w:vAlign w:val="bottom"/>
          </w:tcPr>
          <w:p>
            <w:pPr>
              <w:spacing w:after="0"/>
              <w:rPr>
                <w:sz w:val="20"/>
                <w:szCs w:val="20"/>
                <w:color w:val="auto"/>
              </w:rPr>
            </w:pPr>
            <w:r>
              <w:rPr>
                <w:rFonts w:ascii="Arial" w:cs="Arial" w:eastAsia="Arial" w:hAnsi="Arial"/>
                <w:sz w:val="18"/>
                <w:szCs w:val="18"/>
                <w:color w:val="auto"/>
              </w:rPr>
              <w:t>Bookings</w:t>
            </w:r>
          </w:p>
        </w:tc>
        <w:tc>
          <w:tcPr>
            <w:tcW w:w="10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rPr>
              <w:t>$   624.2</w:t>
            </w:r>
          </w:p>
        </w:tc>
        <w:tc>
          <w:tcPr>
            <w:tcW w:w="80" w:type="dxa"/>
            <w:vAlign w:val="bottom"/>
          </w:tcPr>
          <w:p>
            <w:pPr>
              <w:spacing w:after="0"/>
              <w:rPr>
                <w:sz w:val="19"/>
                <w:szCs w:val="19"/>
                <w:color w:val="auto"/>
              </w:rPr>
            </w:pPr>
          </w:p>
        </w:tc>
        <w:tc>
          <w:tcPr>
            <w:tcW w:w="10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    582.6</w:t>
            </w:r>
          </w:p>
        </w:tc>
        <w:tc>
          <w:tcPr>
            <w:tcW w:w="5420" w:type="dxa"/>
            <w:vAlign w:val="bottom"/>
          </w:tcPr>
          <w:p>
            <w:pPr>
              <w:spacing w:after="0"/>
              <w:rPr>
                <w:sz w:val="19"/>
                <w:szCs w:val="19"/>
                <w:color w:val="auto"/>
              </w:rPr>
            </w:pPr>
          </w:p>
        </w:tc>
      </w:tr>
      <w:tr>
        <w:trPr>
          <w:trHeight w:val="242"/>
        </w:trPr>
        <w:tc>
          <w:tcPr>
            <w:tcW w:w="3700" w:type="dxa"/>
            <w:vAlign w:val="bottom"/>
          </w:tcPr>
          <w:p>
            <w:pPr>
              <w:spacing w:after="0"/>
              <w:rPr>
                <w:sz w:val="20"/>
                <w:szCs w:val="20"/>
                <w:color w:val="auto"/>
              </w:rPr>
            </w:pPr>
            <w:r>
              <w:rPr>
                <w:rFonts w:ascii="Arial" w:cs="Arial" w:eastAsia="Arial" w:hAnsi="Arial"/>
                <w:sz w:val="18"/>
                <w:szCs w:val="18"/>
                <w:color w:val="auto"/>
              </w:rPr>
              <w:t>Sales</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516.3</w:t>
            </w:r>
          </w:p>
        </w:tc>
        <w:tc>
          <w:tcPr>
            <w:tcW w:w="1120" w:type="dxa"/>
            <w:vAlign w:val="bottom"/>
            <w:gridSpan w:val="2"/>
          </w:tcPr>
          <w:p>
            <w:pPr>
              <w:jc w:val="right"/>
              <w:ind w:right="130"/>
              <w:spacing w:after="0"/>
              <w:rPr>
                <w:sz w:val="20"/>
                <w:szCs w:val="20"/>
                <w:color w:val="auto"/>
              </w:rPr>
            </w:pPr>
            <w:r>
              <w:rPr>
                <w:rFonts w:ascii="Arial" w:cs="Arial" w:eastAsia="Arial" w:hAnsi="Arial"/>
                <w:sz w:val="18"/>
                <w:szCs w:val="18"/>
                <w:color w:val="auto"/>
              </w:rPr>
              <w:t>537.0</w:t>
            </w:r>
          </w:p>
        </w:tc>
        <w:tc>
          <w:tcPr>
            <w:tcW w:w="54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139.8</w:t>
            </w:r>
          </w:p>
        </w:tc>
        <w:tc>
          <w:tcPr>
            <w:tcW w:w="1120" w:type="dxa"/>
            <w:vAlign w:val="bottom"/>
            <w:gridSpan w:val="2"/>
          </w:tcPr>
          <w:p>
            <w:pPr>
              <w:jc w:val="right"/>
              <w:ind w:right="130"/>
              <w:spacing w:after="0"/>
              <w:rPr>
                <w:sz w:val="20"/>
                <w:szCs w:val="20"/>
                <w:color w:val="auto"/>
              </w:rPr>
            </w:pPr>
            <w:r>
              <w:rPr>
                <w:rFonts w:ascii="Arial" w:cs="Arial" w:eastAsia="Arial" w:hAnsi="Arial"/>
                <w:sz w:val="18"/>
                <w:szCs w:val="18"/>
                <w:color w:val="auto"/>
              </w:rPr>
              <w:t>159.4</w:t>
            </w:r>
          </w:p>
        </w:tc>
        <w:tc>
          <w:tcPr>
            <w:tcW w:w="54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Gross profit margin</w:t>
            </w:r>
          </w:p>
        </w:tc>
        <w:tc>
          <w:tcPr>
            <w:tcW w:w="1000" w:type="dxa"/>
            <w:vAlign w:val="bottom"/>
          </w:tcPr>
          <w:p>
            <w:pPr>
              <w:jc w:val="right"/>
              <w:spacing w:after="0"/>
              <w:rPr>
                <w:sz w:val="20"/>
                <w:szCs w:val="20"/>
                <w:color w:val="auto"/>
              </w:rPr>
            </w:pPr>
            <w:r>
              <w:rPr>
                <w:rFonts w:ascii="Arial" w:cs="Arial" w:eastAsia="Arial" w:hAnsi="Arial"/>
                <w:sz w:val="18"/>
                <w:szCs w:val="18"/>
                <w:color w:val="auto"/>
              </w:rPr>
              <w:t>27.1%</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29.7%</w:t>
            </w:r>
          </w:p>
        </w:tc>
        <w:tc>
          <w:tcPr>
            <w:tcW w:w="54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SG&amp;A</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94.2</w:t>
            </w:r>
          </w:p>
        </w:tc>
        <w:tc>
          <w:tcPr>
            <w:tcW w:w="1120" w:type="dxa"/>
            <w:vAlign w:val="bottom"/>
            <w:gridSpan w:val="2"/>
          </w:tcPr>
          <w:p>
            <w:pPr>
              <w:jc w:val="right"/>
              <w:ind w:right="130"/>
              <w:spacing w:after="0"/>
              <w:rPr>
                <w:sz w:val="20"/>
                <w:szCs w:val="20"/>
                <w:color w:val="auto"/>
              </w:rPr>
            </w:pPr>
            <w:r>
              <w:rPr>
                <w:rFonts w:ascii="Arial" w:cs="Arial" w:eastAsia="Arial" w:hAnsi="Arial"/>
                <w:sz w:val="18"/>
                <w:szCs w:val="18"/>
                <w:color w:val="auto"/>
              </w:rPr>
              <w:t>97.8</w:t>
            </w:r>
          </w:p>
        </w:tc>
        <w:tc>
          <w:tcPr>
            <w:tcW w:w="54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000" w:type="dxa"/>
            <w:vAlign w:val="bottom"/>
          </w:tcPr>
          <w:p>
            <w:pPr>
              <w:jc w:val="right"/>
              <w:ind w:right="110"/>
              <w:spacing w:after="0"/>
              <w:rPr>
                <w:sz w:val="20"/>
                <w:szCs w:val="20"/>
                <w:color w:val="auto"/>
              </w:rPr>
            </w:pPr>
            <w:r>
              <w:rPr>
                <w:rFonts w:ascii="Arial" w:cs="Arial" w:eastAsia="Arial" w:hAnsi="Arial"/>
                <w:sz w:val="18"/>
                <w:szCs w:val="18"/>
                <w:color w:val="auto"/>
              </w:rPr>
              <w:t>45.6</w:t>
            </w:r>
          </w:p>
        </w:tc>
        <w:tc>
          <w:tcPr>
            <w:tcW w:w="1120" w:type="dxa"/>
            <w:vAlign w:val="bottom"/>
            <w:gridSpan w:val="2"/>
          </w:tcPr>
          <w:p>
            <w:pPr>
              <w:jc w:val="right"/>
              <w:ind w:right="130"/>
              <w:spacing w:after="0"/>
              <w:rPr>
                <w:sz w:val="20"/>
                <w:szCs w:val="20"/>
                <w:color w:val="auto"/>
              </w:rPr>
            </w:pPr>
            <w:r>
              <w:rPr>
                <w:rFonts w:ascii="Arial" w:cs="Arial" w:eastAsia="Arial" w:hAnsi="Arial"/>
                <w:sz w:val="18"/>
                <w:szCs w:val="18"/>
                <w:color w:val="auto"/>
              </w:rPr>
              <w:t>61.9</w:t>
            </w:r>
          </w:p>
        </w:tc>
        <w:tc>
          <w:tcPr>
            <w:tcW w:w="5420" w:type="dxa"/>
            <w:vAlign w:val="bottom"/>
          </w:tcPr>
          <w:p>
            <w:pPr>
              <w:spacing w:after="0"/>
              <w:rPr>
                <w:sz w:val="21"/>
                <w:szCs w:val="21"/>
                <w:color w:val="auto"/>
              </w:rPr>
            </w:pPr>
          </w:p>
        </w:tc>
      </w:tr>
      <w:tr>
        <w:trPr>
          <w:trHeight w:val="243"/>
        </w:trPr>
        <w:tc>
          <w:tcPr>
            <w:tcW w:w="3700" w:type="dxa"/>
            <w:vAlign w:val="bottom"/>
          </w:tcPr>
          <w:p>
            <w:pPr>
              <w:spacing w:after="0"/>
              <w:rPr>
                <w:sz w:val="20"/>
                <w:szCs w:val="20"/>
                <w:color w:val="auto"/>
              </w:rPr>
            </w:pPr>
            <w:r>
              <w:rPr>
                <w:rFonts w:ascii="Arial" w:cs="Arial" w:eastAsia="Arial" w:hAnsi="Arial"/>
                <w:sz w:val="18"/>
                <w:szCs w:val="18"/>
                <w:color w:val="auto"/>
                <w:w w:val="88"/>
              </w:rPr>
              <w:t>Segment operating income as a percentage of sales</w:t>
            </w:r>
          </w:p>
        </w:tc>
        <w:tc>
          <w:tcPr>
            <w:tcW w:w="1000" w:type="dxa"/>
            <w:vAlign w:val="bottom"/>
          </w:tcPr>
          <w:p>
            <w:pPr>
              <w:jc w:val="right"/>
              <w:spacing w:after="0"/>
              <w:rPr>
                <w:sz w:val="20"/>
                <w:szCs w:val="20"/>
                <w:color w:val="auto"/>
              </w:rPr>
            </w:pPr>
            <w:r>
              <w:rPr>
                <w:rFonts w:ascii="Arial" w:cs="Arial" w:eastAsia="Arial" w:hAnsi="Arial"/>
                <w:sz w:val="18"/>
                <w:szCs w:val="18"/>
                <w:color w:val="auto"/>
              </w:rPr>
              <w:t>8.8%</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11.5%</w:t>
            </w:r>
          </w:p>
        </w:tc>
        <w:tc>
          <w:tcPr>
            <w:tcW w:w="5420" w:type="dxa"/>
            <w:vAlign w:val="bottom"/>
          </w:tcPr>
          <w:p>
            <w:pPr>
              <w:spacing w:after="0"/>
              <w:rPr>
                <w:sz w:val="21"/>
                <w:szCs w:val="21"/>
                <w:color w:val="auto"/>
              </w:rPr>
            </w:pPr>
          </w:p>
        </w:tc>
      </w:tr>
      <w:tr>
        <w:trPr>
          <w:trHeight w:val="196"/>
        </w:trPr>
        <w:tc>
          <w:tcPr>
            <w:tcW w:w="37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5420" w:type="dxa"/>
            <w:vAlign w:val="bottom"/>
            <w:tcBorders>
              <w:bottom w:val="single" w:sz="8" w:color="auto"/>
            </w:tcBorders>
          </w:tcPr>
          <w:p>
            <w:pPr>
              <w:spacing w:after="0"/>
              <w:rPr>
                <w:sz w:val="17"/>
                <w:szCs w:val="17"/>
                <w:color w:val="auto"/>
              </w:rPr>
            </w:pPr>
          </w:p>
        </w:tc>
      </w:tr>
    </w:tbl>
    <w:p>
      <w:pPr>
        <w:sectPr>
          <w:pgSz w:w="11900" w:h="16838" w:orient="portrait"/>
          <w:cols w:equalWidth="0" w:num="1">
            <w:col w:w="11240"/>
          </w:cols>
          <w:pgMar w:left="320" w:top="378" w:right="339" w:bottom="1440" w:gutter="0" w:footer="0" w:header="0"/>
        </w:sectPr>
      </w:pPr>
    </w:p>
    <w:bookmarkStart w:id="14" w:name="page15"/>
    <w:bookmarkEnd w:id="14"/>
    <w:p>
      <w:pPr>
        <w:jc w:val="center"/>
        <w:ind w:right="1179"/>
        <w:spacing w:after="0"/>
        <w:rPr>
          <w:sz w:val="20"/>
          <w:szCs w:val="20"/>
          <w:color w:val="auto"/>
        </w:rPr>
      </w:pPr>
      <w:r>
        <w:rPr>
          <w:rFonts w:ascii="Arial" w:cs="Arial" w:eastAsia="Arial" w:hAnsi="Arial"/>
          <w:sz w:val="18"/>
          <w:szCs w:val="18"/>
          <w:b w:val="1"/>
          <w:bCs w:val="1"/>
          <w:color w:val="auto"/>
        </w:rPr>
        <w:t>Second Quarter and Year-to-Date 2022 - Segment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568325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683250" cy="8255"/>
                    </a:xfrm>
                    <a:prstGeom prst="rect">
                      <a:avLst/>
                    </a:prstGeom>
                    <a:noFill/>
                  </pic:spPr>
                </pic:pic>
              </a:graphicData>
            </a:graphic>
          </wp:anchor>
        </w:drawing>
      </w:r>
    </w:p>
    <w:p>
      <w:pPr>
        <w:spacing w:after="0" w:line="34" w:lineRule="exact"/>
        <w:rPr>
          <w:sz w:val="20"/>
          <w:szCs w:val="20"/>
          <w:color w:val="auto"/>
        </w:rPr>
      </w:pPr>
    </w:p>
    <w:p>
      <w:pPr>
        <w:jc w:val="center"/>
        <w:ind w:right="1179"/>
        <w:spacing w:after="0"/>
        <w:rPr>
          <w:sz w:val="20"/>
          <w:szCs w:val="20"/>
          <w:color w:val="auto"/>
        </w:rPr>
      </w:pPr>
      <w:r>
        <w:rPr>
          <w:rFonts w:ascii="Arial" w:cs="Arial" w:eastAsia="Arial" w:hAnsi="Arial"/>
          <w:sz w:val="18"/>
          <w:szCs w:val="18"/>
          <w:color w:val="auto"/>
        </w:rPr>
        <w:t>(dollars in millions, comparison vs. 2021 second quarter and year-to-date, 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398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gridSpan w:val="2"/>
          </w:tcPr>
          <w:p>
            <w:pPr>
              <w:jc w:val="right"/>
              <w:ind w:right="110"/>
              <w:spacing w:after="0"/>
              <w:rPr>
                <w:sz w:val="20"/>
                <w:szCs w:val="20"/>
                <w:color w:val="auto"/>
              </w:rPr>
            </w:pPr>
            <w:r>
              <w:rPr>
                <w:rFonts w:ascii="Arial" w:cs="Arial" w:eastAsia="Arial" w:hAnsi="Arial"/>
                <w:sz w:val="18"/>
                <w:szCs w:val="18"/>
                <w:color w:val="auto"/>
              </w:rPr>
              <w:t>FPD</w:t>
            </w:r>
          </w:p>
        </w:tc>
        <w:tc>
          <w:tcPr>
            <w:tcW w:w="86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gridSpan w:val="2"/>
          </w:tcPr>
          <w:p>
            <w:pPr>
              <w:jc w:val="right"/>
              <w:ind w:right="130"/>
              <w:spacing w:after="0"/>
              <w:rPr>
                <w:sz w:val="20"/>
                <w:szCs w:val="20"/>
                <w:color w:val="auto"/>
              </w:rPr>
            </w:pPr>
            <w:r>
              <w:rPr>
                <w:rFonts w:ascii="Arial" w:cs="Arial" w:eastAsia="Arial" w:hAnsi="Arial"/>
                <w:sz w:val="18"/>
                <w:szCs w:val="18"/>
                <w:color w:val="auto"/>
              </w:rPr>
              <w:t>FCD</w:t>
            </w:r>
          </w:p>
        </w:tc>
        <w:tc>
          <w:tcPr>
            <w:tcW w:w="8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r>
      <w:tr>
        <w:trPr>
          <w:trHeight w:val="230"/>
        </w:trPr>
        <w:tc>
          <w:tcPr>
            <w:tcW w:w="3980" w:type="dxa"/>
            <w:vAlign w:val="bottom"/>
          </w:tcPr>
          <w:p>
            <w:pPr>
              <w:spacing w:after="0"/>
              <w:rPr>
                <w:sz w:val="20"/>
                <w:szCs w:val="20"/>
                <w:color w:val="auto"/>
              </w:rPr>
            </w:pPr>
            <w:r>
              <w:rPr>
                <w:rFonts w:ascii="Arial" w:cs="Arial" w:eastAsia="Arial" w:hAnsi="Arial"/>
                <w:sz w:val="18"/>
                <w:szCs w:val="18"/>
                <w:color w:val="auto"/>
              </w:rPr>
              <w:t>Bookings</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717.8</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1,513.0</w:t>
            </w:r>
          </w:p>
        </w:tc>
        <w:tc>
          <w:tcPr>
            <w:tcW w:w="80" w:type="dxa"/>
            <w:vAlign w:val="bottom"/>
          </w:tcPr>
          <w:p>
            <w:pPr>
              <w:spacing w:after="0"/>
              <w:rPr>
                <w:sz w:val="20"/>
                <w:szCs w:val="20"/>
                <w:color w:val="auto"/>
              </w:rPr>
            </w:pP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329.9</w:t>
            </w:r>
          </w:p>
        </w:tc>
        <w:tc>
          <w:tcPr>
            <w:tcW w:w="3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624.2</w:t>
            </w:r>
          </w:p>
        </w:tc>
        <w:tc>
          <w:tcPr>
            <w:tcW w:w="20" w:type="dxa"/>
            <w:vAlign w:val="bottom"/>
          </w:tcPr>
          <w:p>
            <w:pPr>
              <w:spacing w:after="0"/>
              <w:rPr>
                <w:sz w:val="20"/>
                <w:szCs w:val="20"/>
                <w:color w:val="auto"/>
              </w:rPr>
            </w:pPr>
          </w:p>
        </w:tc>
      </w:tr>
      <w:tr>
        <w:trPr>
          <w:trHeight w:val="242"/>
        </w:trPr>
        <w:tc>
          <w:tcPr>
            <w:tcW w:w="3980" w:type="dxa"/>
            <w:vAlign w:val="bottom"/>
          </w:tcPr>
          <w:p>
            <w:pPr>
              <w:ind w:left="80"/>
              <w:spacing w:after="0"/>
              <w:rPr>
                <w:sz w:val="20"/>
                <w:szCs w:val="20"/>
                <w:color w:val="auto"/>
              </w:rPr>
            </w:pPr>
            <w:r>
              <w:rPr>
                <w:rFonts w:ascii="Arial" w:cs="Arial" w:eastAsia="Arial" w:hAnsi="Arial"/>
                <w:sz w:val="18"/>
                <w:szCs w:val="18"/>
                <w:color w:val="auto"/>
              </w:rPr>
              <w:t>- vs. prior year</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7.3%</w:t>
            </w:r>
          </w:p>
        </w:tc>
        <w:tc>
          <w:tcPr>
            <w:tcW w:w="340" w:type="dxa"/>
            <w:vAlign w:val="bottom"/>
          </w:tcPr>
          <w:p>
            <w:pPr>
              <w:spacing w:after="0"/>
              <w:rPr>
                <w:sz w:val="21"/>
                <w:szCs w:val="21"/>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14.4%</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14.1%</w:t>
            </w:r>
          </w:p>
        </w:tc>
        <w:tc>
          <w:tcPr>
            <w:tcW w:w="360" w:type="dxa"/>
            <w:vAlign w:val="bottom"/>
          </w:tcPr>
          <w:p>
            <w:pPr>
              <w:spacing w:after="0"/>
              <w:rPr>
                <w:sz w:val="21"/>
                <w:szCs w:val="21"/>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7.1%</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on constant currency</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12.4%</w:t>
            </w:r>
          </w:p>
        </w:tc>
        <w:tc>
          <w:tcPr>
            <w:tcW w:w="340" w:type="dxa"/>
            <w:vAlign w:val="bottom"/>
          </w:tcPr>
          <w:p>
            <w:pPr>
              <w:spacing w:after="0"/>
              <w:rPr>
                <w:sz w:val="21"/>
                <w:szCs w:val="21"/>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18.4%</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18.8%</w:t>
            </w:r>
          </w:p>
        </w:tc>
        <w:tc>
          <w:tcPr>
            <w:tcW w:w="360" w:type="dxa"/>
            <w:vAlign w:val="bottom"/>
          </w:tcPr>
          <w:p>
            <w:pPr>
              <w:spacing w:after="0"/>
              <w:rPr>
                <w:sz w:val="21"/>
                <w:szCs w:val="21"/>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10.6%</w:t>
            </w:r>
          </w:p>
        </w:tc>
      </w:tr>
      <w:tr>
        <w:trPr>
          <w:trHeight w:val="486"/>
        </w:trPr>
        <w:tc>
          <w:tcPr>
            <w:tcW w:w="3980" w:type="dxa"/>
            <w:vAlign w:val="bottom"/>
          </w:tcPr>
          <w:p>
            <w:pPr>
              <w:spacing w:after="0"/>
              <w:rPr>
                <w:sz w:val="20"/>
                <w:szCs w:val="20"/>
                <w:color w:val="auto"/>
              </w:rPr>
            </w:pPr>
            <w:r>
              <w:rPr>
                <w:rFonts w:ascii="Arial" w:cs="Arial" w:eastAsia="Arial" w:hAnsi="Arial"/>
                <w:sz w:val="18"/>
                <w:szCs w:val="18"/>
                <w:color w:val="auto"/>
              </w:rPr>
              <w:t>Sales</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614.9</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1,190.5</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268.4</w:t>
            </w:r>
          </w:p>
        </w:tc>
        <w:tc>
          <w:tcPr>
            <w:tcW w:w="3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516.3</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vs. prior year</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-0.4%</w:t>
            </w:r>
          </w:p>
        </w:tc>
        <w:tc>
          <w:tcPr>
            <w:tcW w:w="340" w:type="dxa"/>
            <w:vAlign w:val="bottom"/>
          </w:tcPr>
          <w:p>
            <w:pPr>
              <w:spacing w:after="0"/>
              <w:rPr>
                <w:sz w:val="21"/>
                <w:szCs w:val="21"/>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-2.4%</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-4.6%</w:t>
            </w:r>
          </w:p>
        </w:tc>
        <w:tc>
          <w:tcPr>
            <w:tcW w:w="360" w:type="dxa"/>
            <w:vAlign w:val="bottom"/>
          </w:tcPr>
          <w:p>
            <w:pPr>
              <w:spacing w:after="0"/>
              <w:rPr>
                <w:sz w:val="21"/>
                <w:szCs w:val="21"/>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-3.9%</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on constant currency</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4.4%</w:t>
            </w:r>
          </w:p>
        </w:tc>
        <w:tc>
          <w:tcPr>
            <w:tcW w:w="340" w:type="dxa"/>
            <w:vAlign w:val="bottom"/>
          </w:tcPr>
          <w:p>
            <w:pPr>
              <w:spacing w:after="0"/>
              <w:rPr>
                <w:sz w:val="21"/>
                <w:szCs w:val="21"/>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1.2%</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-0.6%</w:t>
            </w:r>
          </w:p>
        </w:tc>
        <w:tc>
          <w:tcPr>
            <w:tcW w:w="360" w:type="dxa"/>
            <w:vAlign w:val="bottom"/>
          </w:tcPr>
          <w:p>
            <w:pPr>
              <w:spacing w:after="0"/>
              <w:rPr>
                <w:sz w:val="21"/>
                <w:szCs w:val="21"/>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-0.9%</w:t>
            </w:r>
          </w:p>
        </w:tc>
      </w:tr>
      <w:tr>
        <w:trPr>
          <w:trHeight w:val="486"/>
        </w:trPr>
        <w:tc>
          <w:tcPr>
            <w:tcW w:w="3980" w:type="dxa"/>
            <w:vAlign w:val="bottom"/>
          </w:tcPr>
          <w:p>
            <w:pPr>
              <w:spacing w:after="0"/>
              <w:rPr>
                <w:sz w:val="20"/>
                <w:szCs w:val="20"/>
                <w:color w:val="auto"/>
              </w:rPr>
            </w:pPr>
            <w:r>
              <w:rPr>
                <w:rFonts w:ascii="Arial" w:cs="Arial" w:eastAsia="Arial" w:hAnsi="Arial"/>
                <w:sz w:val="18"/>
                <w:szCs w:val="18"/>
                <w:color w:val="auto"/>
              </w:rPr>
              <w:t>Gross Profit</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184.0</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340.9</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80.3</w:t>
            </w:r>
          </w:p>
        </w:tc>
        <w:tc>
          <w:tcPr>
            <w:tcW w:w="3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139.8</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vs. prior year</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-6.3%</w:t>
            </w:r>
          </w:p>
        </w:tc>
        <w:tc>
          <w:tcPr>
            <w:tcW w:w="340" w:type="dxa"/>
            <w:vAlign w:val="bottom"/>
          </w:tcPr>
          <w:p>
            <w:pPr>
              <w:spacing w:after="0"/>
              <w:rPr>
                <w:sz w:val="21"/>
                <w:szCs w:val="21"/>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-10.1%</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-5.3%</w:t>
            </w:r>
          </w:p>
        </w:tc>
        <w:tc>
          <w:tcPr>
            <w:tcW w:w="360" w:type="dxa"/>
            <w:vAlign w:val="bottom"/>
          </w:tcPr>
          <w:p>
            <w:pPr>
              <w:spacing w:after="0"/>
              <w:rPr>
                <w:sz w:val="21"/>
                <w:szCs w:val="21"/>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-12.3%</w:t>
            </w:r>
          </w:p>
        </w:tc>
      </w:tr>
      <w:tr>
        <w:trPr>
          <w:trHeight w:val="486"/>
        </w:trPr>
        <w:tc>
          <w:tcPr>
            <w:tcW w:w="3980" w:type="dxa"/>
            <w:vAlign w:val="bottom"/>
          </w:tcPr>
          <w:p>
            <w:pPr>
              <w:spacing w:after="0"/>
              <w:rPr>
                <w:sz w:val="20"/>
                <w:szCs w:val="20"/>
                <w:color w:val="auto"/>
              </w:rPr>
            </w:pPr>
            <w:r>
              <w:rPr>
                <w:rFonts w:ascii="Arial" w:cs="Arial" w:eastAsia="Arial" w:hAnsi="Arial"/>
                <w:sz w:val="18"/>
                <w:szCs w:val="18"/>
                <w:color w:val="auto"/>
              </w:rPr>
              <w:t>Gross Margin (% of sales)</w:t>
            </w:r>
          </w:p>
        </w:tc>
        <w:tc>
          <w:tcPr>
            <w:tcW w:w="3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29.9%</w:t>
            </w:r>
          </w:p>
        </w:tc>
        <w:tc>
          <w:tcPr>
            <w:tcW w:w="340" w:type="dxa"/>
            <w:vAlign w:val="bottom"/>
          </w:tcPr>
          <w:p>
            <w:pPr>
              <w:spacing w:after="0"/>
              <w:rPr>
                <w:sz w:val="24"/>
                <w:szCs w:val="24"/>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28.6%</w:t>
            </w:r>
          </w:p>
        </w:tc>
        <w:tc>
          <w:tcPr>
            <w:tcW w:w="320" w:type="dxa"/>
            <w:vAlign w:val="bottom"/>
          </w:tcPr>
          <w:p>
            <w:pPr>
              <w:spacing w:after="0"/>
              <w:rPr>
                <w:sz w:val="24"/>
                <w:szCs w:val="24"/>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29.9%</w:t>
            </w:r>
          </w:p>
        </w:tc>
        <w:tc>
          <w:tcPr>
            <w:tcW w:w="360" w:type="dxa"/>
            <w:vAlign w:val="bottom"/>
          </w:tcPr>
          <w:p>
            <w:pPr>
              <w:spacing w:after="0"/>
              <w:rPr>
                <w:sz w:val="24"/>
                <w:szCs w:val="24"/>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27.1%</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vs. prior year (in basis points)</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(190) bps</w:t>
            </w:r>
          </w:p>
        </w:tc>
        <w:tc>
          <w:tcPr>
            <w:tcW w:w="340" w:type="dxa"/>
            <w:vAlign w:val="bottom"/>
          </w:tcPr>
          <w:p>
            <w:pPr>
              <w:spacing w:after="0"/>
              <w:rPr>
                <w:sz w:val="21"/>
                <w:szCs w:val="21"/>
                <w:color w:val="auto"/>
              </w:rPr>
            </w:pPr>
          </w:p>
        </w:tc>
        <w:tc>
          <w:tcPr>
            <w:tcW w:w="940" w:type="dxa"/>
            <w:vAlign w:val="bottom"/>
            <w:gridSpan w:val="2"/>
          </w:tcPr>
          <w:p>
            <w:pPr>
              <w:ind w:left="160"/>
              <w:spacing w:after="0"/>
              <w:rPr>
                <w:sz w:val="20"/>
                <w:szCs w:val="20"/>
                <w:color w:val="auto"/>
              </w:rPr>
            </w:pPr>
            <w:r>
              <w:rPr>
                <w:rFonts w:ascii="Arial" w:cs="Arial" w:eastAsia="Arial" w:hAnsi="Arial"/>
                <w:sz w:val="18"/>
                <w:szCs w:val="18"/>
                <w:color w:val="auto"/>
                <w:w w:val="99"/>
              </w:rPr>
              <w:t>(250) bps</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(30) bps</w:t>
            </w:r>
          </w:p>
        </w:tc>
        <w:tc>
          <w:tcPr>
            <w:tcW w:w="360" w:type="dxa"/>
            <w:vAlign w:val="bottom"/>
          </w:tcPr>
          <w:p>
            <w:pPr>
              <w:spacing w:after="0"/>
              <w:rPr>
                <w:sz w:val="21"/>
                <w:szCs w:val="21"/>
                <w:color w:val="auto"/>
              </w:rPr>
            </w:pPr>
          </w:p>
        </w:tc>
        <w:tc>
          <w:tcPr>
            <w:tcW w:w="880" w:type="dxa"/>
            <w:vAlign w:val="bottom"/>
            <w:gridSpan w:val="2"/>
          </w:tcPr>
          <w:p>
            <w:pPr>
              <w:ind w:left="180"/>
              <w:spacing w:after="0"/>
              <w:rPr>
                <w:sz w:val="20"/>
                <w:szCs w:val="20"/>
                <w:color w:val="auto"/>
              </w:rPr>
            </w:pPr>
            <w:r>
              <w:rPr>
                <w:rFonts w:ascii="Arial" w:cs="Arial" w:eastAsia="Arial" w:hAnsi="Arial"/>
                <w:sz w:val="18"/>
                <w:szCs w:val="18"/>
                <w:color w:val="auto"/>
                <w:w w:val="89"/>
              </w:rPr>
              <w:t>(260) bps</w:t>
            </w:r>
          </w:p>
        </w:tc>
      </w:tr>
      <w:tr>
        <w:trPr>
          <w:trHeight w:val="486"/>
        </w:trPr>
        <w:tc>
          <w:tcPr>
            <w:tcW w:w="3980" w:type="dxa"/>
            <w:vAlign w:val="bottom"/>
          </w:tcPr>
          <w:p>
            <w:pPr>
              <w:spacing w:after="0"/>
              <w:rPr>
                <w:sz w:val="20"/>
                <w:szCs w:val="20"/>
                <w:color w:val="auto"/>
              </w:rPr>
            </w:pPr>
            <w:r>
              <w:rPr>
                <w:rFonts w:ascii="Arial" w:cs="Arial" w:eastAsia="Arial" w:hAnsi="Arial"/>
                <w:sz w:val="18"/>
                <w:szCs w:val="18"/>
                <w:color w:val="auto"/>
              </w:rPr>
              <w:t>Operating Income</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57.3</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78.3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30.4</w:t>
            </w:r>
          </w:p>
        </w:tc>
        <w:tc>
          <w:tcPr>
            <w:tcW w:w="3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45.6</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vs. prior year</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-15.5%</w:t>
            </w:r>
          </w:p>
        </w:tc>
        <w:tc>
          <w:tcPr>
            <w:tcW w:w="340" w:type="dxa"/>
            <w:vAlign w:val="bottom"/>
          </w:tcPr>
          <w:p>
            <w:pPr>
              <w:spacing w:after="0"/>
              <w:rPr>
                <w:sz w:val="21"/>
                <w:szCs w:val="21"/>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-35.6%</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-18.3%</w:t>
            </w:r>
          </w:p>
        </w:tc>
        <w:tc>
          <w:tcPr>
            <w:tcW w:w="360" w:type="dxa"/>
            <w:vAlign w:val="bottom"/>
          </w:tcPr>
          <w:p>
            <w:pPr>
              <w:spacing w:after="0"/>
              <w:rPr>
                <w:sz w:val="21"/>
                <w:szCs w:val="21"/>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-26.3%</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on constant currency</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-10.8%</w:t>
            </w:r>
          </w:p>
        </w:tc>
        <w:tc>
          <w:tcPr>
            <w:tcW w:w="340" w:type="dxa"/>
            <w:vAlign w:val="bottom"/>
          </w:tcPr>
          <w:p>
            <w:pPr>
              <w:spacing w:after="0"/>
              <w:rPr>
                <w:sz w:val="21"/>
                <w:szCs w:val="21"/>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-33.6%</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-17.0%</w:t>
            </w:r>
          </w:p>
        </w:tc>
        <w:tc>
          <w:tcPr>
            <w:tcW w:w="360" w:type="dxa"/>
            <w:vAlign w:val="bottom"/>
          </w:tcPr>
          <w:p>
            <w:pPr>
              <w:spacing w:after="0"/>
              <w:rPr>
                <w:sz w:val="21"/>
                <w:szCs w:val="21"/>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-25.1%</w:t>
            </w:r>
          </w:p>
        </w:tc>
      </w:tr>
      <w:tr>
        <w:trPr>
          <w:trHeight w:val="486"/>
        </w:trPr>
        <w:tc>
          <w:tcPr>
            <w:tcW w:w="3980" w:type="dxa"/>
            <w:vAlign w:val="bottom"/>
          </w:tcPr>
          <w:p>
            <w:pPr>
              <w:spacing w:after="0"/>
              <w:rPr>
                <w:sz w:val="20"/>
                <w:szCs w:val="20"/>
                <w:color w:val="auto"/>
              </w:rPr>
            </w:pPr>
            <w:r>
              <w:rPr>
                <w:rFonts w:ascii="Arial" w:cs="Arial" w:eastAsia="Arial" w:hAnsi="Arial"/>
                <w:sz w:val="18"/>
                <w:szCs w:val="18"/>
                <w:color w:val="auto"/>
              </w:rPr>
              <w:t>Operating Margin (% of sales)</w:t>
            </w:r>
          </w:p>
        </w:tc>
        <w:tc>
          <w:tcPr>
            <w:tcW w:w="3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9.3%</w:t>
            </w:r>
          </w:p>
        </w:tc>
        <w:tc>
          <w:tcPr>
            <w:tcW w:w="340" w:type="dxa"/>
            <w:vAlign w:val="bottom"/>
          </w:tcPr>
          <w:p>
            <w:pPr>
              <w:spacing w:after="0"/>
              <w:rPr>
                <w:sz w:val="24"/>
                <w:szCs w:val="24"/>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6.6%</w:t>
            </w:r>
          </w:p>
        </w:tc>
        <w:tc>
          <w:tcPr>
            <w:tcW w:w="320" w:type="dxa"/>
            <w:vAlign w:val="bottom"/>
          </w:tcPr>
          <w:p>
            <w:pPr>
              <w:spacing w:after="0"/>
              <w:rPr>
                <w:sz w:val="24"/>
                <w:szCs w:val="24"/>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11.3%</w:t>
            </w:r>
          </w:p>
        </w:tc>
        <w:tc>
          <w:tcPr>
            <w:tcW w:w="360" w:type="dxa"/>
            <w:vAlign w:val="bottom"/>
          </w:tcPr>
          <w:p>
            <w:pPr>
              <w:spacing w:after="0"/>
              <w:rPr>
                <w:sz w:val="24"/>
                <w:szCs w:val="24"/>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8.8%</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vs. prior year (in basis points)</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(170) bps</w:t>
            </w:r>
          </w:p>
        </w:tc>
        <w:tc>
          <w:tcPr>
            <w:tcW w:w="340" w:type="dxa"/>
            <w:vAlign w:val="bottom"/>
          </w:tcPr>
          <w:p>
            <w:pPr>
              <w:spacing w:after="0"/>
              <w:rPr>
                <w:sz w:val="21"/>
                <w:szCs w:val="21"/>
                <w:color w:val="auto"/>
              </w:rPr>
            </w:pPr>
          </w:p>
        </w:tc>
        <w:tc>
          <w:tcPr>
            <w:tcW w:w="940" w:type="dxa"/>
            <w:vAlign w:val="bottom"/>
            <w:gridSpan w:val="2"/>
          </w:tcPr>
          <w:p>
            <w:pPr>
              <w:ind w:left="160"/>
              <w:spacing w:after="0"/>
              <w:rPr>
                <w:sz w:val="20"/>
                <w:szCs w:val="20"/>
                <w:color w:val="auto"/>
              </w:rPr>
            </w:pPr>
            <w:r>
              <w:rPr>
                <w:rFonts w:ascii="Arial" w:cs="Arial" w:eastAsia="Arial" w:hAnsi="Arial"/>
                <w:sz w:val="18"/>
                <w:szCs w:val="18"/>
                <w:color w:val="auto"/>
                <w:w w:val="99"/>
              </w:rPr>
              <w:t>(340) bps</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(190) bps</w:t>
            </w:r>
          </w:p>
        </w:tc>
        <w:tc>
          <w:tcPr>
            <w:tcW w:w="360" w:type="dxa"/>
            <w:vAlign w:val="bottom"/>
          </w:tcPr>
          <w:p>
            <w:pPr>
              <w:spacing w:after="0"/>
              <w:rPr>
                <w:sz w:val="21"/>
                <w:szCs w:val="21"/>
                <w:color w:val="auto"/>
              </w:rPr>
            </w:pPr>
          </w:p>
        </w:tc>
        <w:tc>
          <w:tcPr>
            <w:tcW w:w="880" w:type="dxa"/>
            <w:vAlign w:val="bottom"/>
            <w:gridSpan w:val="2"/>
          </w:tcPr>
          <w:p>
            <w:pPr>
              <w:ind w:left="180"/>
              <w:spacing w:after="0"/>
              <w:rPr>
                <w:sz w:val="20"/>
                <w:szCs w:val="20"/>
                <w:color w:val="auto"/>
              </w:rPr>
            </w:pPr>
            <w:r>
              <w:rPr>
                <w:rFonts w:ascii="Arial" w:cs="Arial" w:eastAsia="Arial" w:hAnsi="Arial"/>
                <w:sz w:val="18"/>
                <w:szCs w:val="18"/>
                <w:color w:val="auto"/>
                <w:w w:val="89"/>
              </w:rPr>
              <w:t>(270) bps</w:t>
            </w:r>
          </w:p>
        </w:tc>
      </w:tr>
      <w:tr>
        <w:trPr>
          <w:trHeight w:val="486"/>
        </w:trPr>
        <w:tc>
          <w:tcPr>
            <w:tcW w:w="3980" w:type="dxa"/>
            <w:vAlign w:val="bottom"/>
          </w:tcPr>
          <w:p>
            <w:pPr>
              <w:spacing w:after="0"/>
              <w:rPr>
                <w:sz w:val="20"/>
                <w:szCs w:val="20"/>
                <w:color w:val="auto"/>
              </w:rPr>
            </w:pPr>
            <w:r>
              <w:rPr>
                <w:rFonts w:ascii="Arial" w:cs="Arial" w:eastAsia="Arial" w:hAnsi="Arial"/>
                <w:sz w:val="18"/>
                <w:szCs w:val="18"/>
                <w:color w:val="auto"/>
              </w:rPr>
              <w:t>Adjusted Operating Income *</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57.7</w:t>
            </w:r>
          </w:p>
        </w:tc>
        <w:tc>
          <w:tcPr>
            <w:tcW w:w="34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96.7</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33.5</w:t>
            </w:r>
          </w:p>
        </w:tc>
        <w:tc>
          <w:tcPr>
            <w:tcW w:w="36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50.9</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vs. prior year</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-18.3%</w:t>
            </w:r>
          </w:p>
        </w:tc>
        <w:tc>
          <w:tcPr>
            <w:tcW w:w="340" w:type="dxa"/>
            <w:vAlign w:val="bottom"/>
          </w:tcPr>
          <w:p>
            <w:pPr>
              <w:spacing w:after="0"/>
              <w:rPr>
                <w:sz w:val="21"/>
                <w:szCs w:val="21"/>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-27.0%</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-10.4%</w:t>
            </w:r>
          </w:p>
        </w:tc>
        <w:tc>
          <w:tcPr>
            <w:tcW w:w="360" w:type="dxa"/>
            <w:vAlign w:val="bottom"/>
          </w:tcPr>
          <w:p>
            <w:pPr>
              <w:spacing w:after="0"/>
              <w:rPr>
                <w:sz w:val="21"/>
                <w:szCs w:val="21"/>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-20.2%</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on constant currency</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-13.8%</w:t>
            </w:r>
          </w:p>
        </w:tc>
        <w:tc>
          <w:tcPr>
            <w:tcW w:w="340" w:type="dxa"/>
            <w:vAlign w:val="bottom"/>
          </w:tcPr>
          <w:p>
            <w:pPr>
              <w:spacing w:after="0"/>
              <w:rPr>
                <w:sz w:val="21"/>
                <w:szCs w:val="21"/>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-25.2%</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-9.0%</w:t>
            </w:r>
          </w:p>
        </w:tc>
        <w:tc>
          <w:tcPr>
            <w:tcW w:w="360" w:type="dxa"/>
            <w:vAlign w:val="bottom"/>
          </w:tcPr>
          <w:p>
            <w:pPr>
              <w:spacing w:after="0"/>
              <w:rPr>
                <w:sz w:val="21"/>
                <w:szCs w:val="21"/>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-18.9%</w:t>
            </w:r>
          </w:p>
        </w:tc>
      </w:tr>
      <w:tr>
        <w:trPr>
          <w:trHeight w:val="486"/>
        </w:trPr>
        <w:tc>
          <w:tcPr>
            <w:tcW w:w="3980" w:type="dxa"/>
            <w:vAlign w:val="bottom"/>
          </w:tcPr>
          <w:p>
            <w:pPr>
              <w:spacing w:after="0"/>
              <w:rPr>
                <w:sz w:val="20"/>
                <w:szCs w:val="20"/>
                <w:color w:val="auto"/>
              </w:rPr>
            </w:pPr>
            <w:r>
              <w:rPr>
                <w:rFonts w:ascii="Arial" w:cs="Arial" w:eastAsia="Arial" w:hAnsi="Arial"/>
                <w:sz w:val="18"/>
                <w:szCs w:val="18"/>
                <w:color w:val="auto"/>
              </w:rPr>
              <w:t>Adj. Oper. Margin (% of sales)*</w:t>
            </w:r>
          </w:p>
        </w:tc>
        <w:tc>
          <w:tcPr>
            <w:tcW w:w="30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9.4%</w:t>
            </w:r>
          </w:p>
        </w:tc>
        <w:tc>
          <w:tcPr>
            <w:tcW w:w="340" w:type="dxa"/>
            <w:vAlign w:val="bottom"/>
          </w:tcPr>
          <w:p>
            <w:pPr>
              <w:spacing w:after="0"/>
              <w:rPr>
                <w:sz w:val="24"/>
                <w:szCs w:val="24"/>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8"/>
                <w:szCs w:val="18"/>
                <w:color w:val="auto"/>
              </w:rPr>
              <w:t>8.1%</w:t>
            </w:r>
          </w:p>
        </w:tc>
        <w:tc>
          <w:tcPr>
            <w:tcW w:w="320" w:type="dxa"/>
            <w:vAlign w:val="bottom"/>
          </w:tcPr>
          <w:p>
            <w:pPr>
              <w:spacing w:after="0"/>
              <w:rPr>
                <w:sz w:val="24"/>
                <w:szCs w:val="24"/>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12.5%</w:t>
            </w:r>
          </w:p>
        </w:tc>
        <w:tc>
          <w:tcPr>
            <w:tcW w:w="360" w:type="dxa"/>
            <w:vAlign w:val="bottom"/>
          </w:tcPr>
          <w:p>
            <w:pPr>
              <w:spacing w:after="0"/>
              <w:rPr>
                <w:sz w:val="24"/>
                <w:szCs w:val="24"/>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9.9%</w:t>
            </w:r>
          </w:p>
        </w:tc>
      </w:tr>
      <w:tr>
        <w:trPr>
          <w:trHeight w:val="243"/>
        </w:trPr>
        <w:tc>
          <w:tcPr>
            <w:tcW w:w="3980" w:type="dxa"/>
            <w:vAlign w:val="bottom"/>
          </w:tcPr>
          <w:p>
            <w:pPr>
              <w:ind w:left="80"/>
              <w:spacing w:after="0"/>
              <w:rPr>
                <w:sz w:val="20"/>
                <w:szCs w:val="20"/>
                <w:color w:val="auto"/>
              </w:rPr>
            </w:pPr>
            <w:r>
              <w:rPr>
                <w:rFonts w:ascii="Arial" w:cs="Arial" w:eastAsia="Arial" w:hAnsi="Arial"/>
                <w:sz w:val="18"/>
                <w:szCs w:val="18"/>
                <w:color w:val="auto"/>
              </w:rPr>
              <w:t>- vs. prior year (in basis points)</w:t>
            </w:r>
          </w:p>
        </w:tc>
        <w:tc>
          <w:tcPr>
            <w:tcW w:w="3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(200) bps</w:t>
            </w:r>
          </w:p>
        </w:tc>
        <w:tc>
          <w:tcPr>
            <w:tcW w:w="340" w:type="dxa"/>
            <w:vAlign w:val="bottom"/>
          </w:tcPr>
          <w:p>
            <w:pPr>
              <w:spacing w:after="0"/>
              <w:rPr>
                <w:sz w:val="21"/>
                <w:szCs w:val="21"/>
                <w:color w:val="auto"/>
              </w:rPr>
            </w:pPr>
          </w:p>
        </w:tc>
        <w:tc>
          <w:tcPr>
            <w:tcW w:w="940" w:type="dxa"/>
            <w:vAlign w:val="bottom"/>
            <w:gridSpan w:val="2"/>
          </w:tcPr>
          <w:p>
            <w:pPr>
              <w:ind w:left="160"/>
              <w:spacing w:after="0"/>
              <w:rPr>
                <w:sz w:val="20"/>
                <w:szCs w:val="20"/>
                <w:color w:val="auto"/>
              </w:rPr>
            </w:pPr>
            <w:r>
              <w:rPr>
                <w:rFonts w:ascii="Arial" w:cs="Arial" w:eastAsia="Arial" w:hAnsi="Arial"/>
                <w:sz w:val="18"/>
                <w:szCs w:val="18"/>
                <w:color w:val="auto"/>
                <w:w w:val="99"/>
              </w:rPr>
              <w:t>(280) bps</w:t>
            </w:r>
          </w:p>
        </w:tc>
        <w:tc>
          <w:tcPr>
            <w:tcW w:w="32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(80) bps</w:t>
            </w:r>
          </w:p>
        </w:tc>
        <w:tc>
          <w:tcPr>
            <w:tcW w:w="360" w:type="dxa"/>
            <w:vAlign w:val="bottom"/>
          </w:tcPr>
          <w:p>
            <w:pPr>
              <w:spacing w:after="0"/>
              <w:rPr>
                <w:sz w:val="21"/>
                <w:szCs w:val="21"/>
                <w:color w:val="auto"/>
              </w:rPr>
            </w:pPr>
          </w:p>
        </w:tc>
        <w:tc>
          <w:tcPr>
            <w:tcW w:w="880" w:type="dxa"/>
            <w:vAlign w:val="bottom"/>
            <w:gridSpan w:val="2"/>
          </w:tcPr>
          <w:p>
            <w:pPr>
              <w:ind w:left="180"/>
              <w:spacing w:after="0"/>
              <w:rPr>
                <w:sz w:val="20"/>
                <w:szCs w:val="20"/>
                <w:color w:val="auto"/>
              </w:rPr>
            </w:pPr>
            <w:r>
              <w:rPr>
                <w:rFonts w:ascii="Arial" w:cs="Arial" w:eastAsia="Arial" w:hAnsi="Arial"/>
                <w:sz w:val="18"/>
                <w:szCs w:val="18"/>
                <w:color w:val="auto"/>
                <w:w w:val="89"/>
              </w:rPr>
              <w:t>(200) bps</w:t>
            </w:r>
          </w:p>
        </w:tc>
      </w:tr>
      <w:tr>
        <w:trPr>
          <w:trHeight w:val="486"/>
        </w:trPr>
        <w:tc>
          <w:tcPr>
            <w:tcW w:w="3980" w:type="dxa"/>
            <w:vAlign w:val="bottom"/>
          </w:tcPr>
          <w:p>
            <w:pPr>
              <w:spacing w:after="0"/>
              <w:rPr>
                <w:sz w:val="20"/>
                <w:szCs w:val="20"/>
                <w:color w:val="auto"/>
              </w:rPr>
            </w:pPr>
            <w:r>
              <w:rPr>
                <w:rFonts w:ascii="Arial" w:cs="Arial" w:eastAsia="Arial" w:hAnsi="Arial"/>
                <w:sz w:val="18"/>
                <w:szCs w:val="18"/>
                <w:color w:val="auto"/>
              </w:rPr>
              <w:t>Backlog</w:t>
            </w:r>
          </w:p>
        </w:tc>
        <w:tc>
          <w:tcPr>
            <w:tcW w:w="30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1,619.8</w:t>
            </w:r>
          </w:p>
        </w:tc>
        <w:tc>
          <w:tcPr>
            <w:tcW w:w="3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701.9</w:t>
            </w:r>
          </w:p>
        </w:tc>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 Adjusted Operating Income and Adjusted Operating Margin exclude realignment charges and other specific discrete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149225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39"/>
          </w:cols>
          <w:pgMar w:left="320" w:top="378" w:right="1440"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234"/>
        </w:trPr>
        <w:tc>
          <w:tcPr>
            <w:tcW w:w="7760" w:type="dxa"/>
            <w:vAlign w:val="bottom"/>
          </w:tcPr>
          <w:p>
            <w:pPr>
              <w:spacing w:after="0"/>
              <w:rPr>
                <w:sz w:val="20"/>
                <w:szCs w:val="20"/>
                <w:color w:val="auto"/>
              </w:rPr>
            </w:pPr>
            <w:r>
              <w:rPr>
                <w:rFonts w:ascii="Arial" w:cs="Arial" w:eastAsia="Arial" w:hAnsi="Arial"/>
                <w:sz w:val="18"/>
                <w:szCs w:val="18"/>
                <w:b w:val="1"/>
                <w:bCs w:val="1"/>
                <w:color w:val="auto"/>
              </w:rPr>
              <w:t>CONDENSED CONSOLIDATED BALANCE SHEETS</w:t>
            </w:r>
          </w:p>
        </w:tc>
        <w:tc>
          <w:tcPr>
            <w:tcW w:w="1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1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b w:val="1"/>
                <w:bCs w:val="1"/>
                <w:color w:val="auto"/>
                <w:w w:val="91"/>
              </w:rPr>
              <w:t>June 30,</w:t>
            </w:r>
          </w:p>
        </w:tc>
        <w:tc>
          <w:tcPr>
            <w:tcW w:w="60" w:type="dxa"/>
            <w:vAlign w:val="bottom"/>
          </w:tcPr>
          <w:p>
            <w:pPr>
              <w:spacing w:after="0"/>
              <w:rPr>
                <w:sz w:val="21"/>
                <w:szCs w:val="21"/>
                <w:color w:val="auto"/>
              </w:rPr>
            </w:pPr>
          </w:p>
        </w:tc>
        <w:tc>
          <w:tcPr>
            <w:tcW w:w="1080" w:type="dxa"/>
            <w:vAlign w:val="bottom"/>
            <w:gridSpan w:val="2"/>
          </w:tcPr>
          <w:p>
            <w:pPr>
              <w:ind w:left="20"/>
              <w:spacing w:after="0"/>
              <w:rPr>
                <w:sz w:val="20"/>
                <w:szCs w:val="20"/>
                <w:color w:val="auto"/>
              </w:rPr>
            </w:pPr>
            <w:r>
              <w:rPr>
                <w:rFonts w:ascii="Arial" w:cs="Arial" w:eastAsia="Arial" w:hAnsi="Arial"/>
                <w:sz w:val="18"/>
                <w:szCs w:val="18"/>
                <w:b w:val="1"/>
                <w:bCs w:val="1"/>
                <w:color w:val="auto"/>
                <w:w w:val="88"/>
              </w:rPr>
              <w:t>December 31,</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spacing w:after="0"/>
              <w:rPr>
                <w:sz w:val="20"/>
                <w:szCs w:val="20"/>
                <w:color w:val="auto"/>
              </w:rPr>
            </w:pPr>
            <w:r>
              <w:rPr>
                <w:rFonts w:ascii="Arial" w:cs="Arial" w:eastAsia="Arial" w:hAnsi="Arial"/>
                <w:sz w:val="18"/>
                <w:szCs w:val="18"/>
                <w:color w:val="auto"/>
              </w:rPr>
              <w:t>(Amounts in thousands, except par value)</w:t>
            </w: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2022</w:t>
            </w:r>
          </w:p>
        </w:tc>
        <w:tc>
          <w:tcPr>
            <w:tcW w:w="6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2021</w:t>
            </w: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66"/>
        </w:trPr>
        <w:tc>
          <w:tcPr>
            <w:tcW w:w="7760" w:type="dxa"/>
            <w:vAlign w:val="bottom"/>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Current assets:</w:t>
            </w:r>
          </w:p>
        </w:tc>
        <w:tc>
          <w:tcPr>
            <w:tcW w:w="1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Cash and cash equivalents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458,345</w:t>
            </w:r>
          </w:p>
        </w:tc>
        <w:tc>
          <w:tcPr>
            <w:tcW w:w="2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658,452</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w w:val="92"/>
              </w:rPr>
              <w:t>Accounts receivable, net of allowance for expected credit losses of $78,776 and $74,336, respectively</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735,895</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739,210</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w w:val="99"/>
              </w:rPr>
              <w:t>Contract assets, net of allowance for expected credit losses of $3,704 and $2,393, respectively</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197,128</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195,598</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Inventories, net</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748,920</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678,287</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ind w:left="220"/>
              <w:spacing w:after="0"/>
              <w:rPr>
                <w:sz w:val="20"/>
                <w:szCs w:val="20"/>
                <w:color w:val="auto"/>
              </w:rPr>
            </w:pPr>
            <w:r>
              <w:rPr>
                <w:rFonts w:ascii="Arial" w:cs="Arial" w:eastAsia="Arial" w:hAnsi="Arial"/>
                <w:sz w:val="18"/>
                <w:szCs w:val="18"/>
                <w:color w:val="auto"/>
              </w:rPr>
              <w:t>Prepaid expenses and other</w:t>
            </w: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140,639</w:t>
            </w:r>
          </w:p>
        </w:tc>
        <w:tc>
          <w:tcPr>
            <w:tcW w:w="6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117,130</w:t>
            </w: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7760" w:type="dxa"/>
            <w:vAlign w:val="bottom"/>
          </w:tcPr>
          <w:p>
            <w:pPr>
              <w:ind w:left="620"/>
              <w:spacing w:after="0"/>
              <w:rPr>
                <w:sz w:val="20"/>
                <w:szCs w:val="20"/>
                <w:color w:val="auto"/>
              </w:rPr>
            </w:pPr>
            <w:r>
              <w:rPr>
                <w:rFonts w:ascii="Arial" w:cs="Arial" w:eastAsia="Arial" w:hAnsi="Arial"/>
                <w:sz w:val="18"/>
                <w:szCs w:val="18"/>
                <w:color w:val="auto"/>
              </w:rPr>
              <w:t>Total current assets</w:t>
            </w:r>
          </w:p>
        </w:tc>
        <w:tc>
          <w:tcPr>
            <w:tcW w:w="1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2,280,927</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2,388,677</w:t>
            </w:r>
          </w:p>
        </w:tc>
        <w:tc>
          <w:tcPr>
            <w:tcW w:w="1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7760" w:type="dxa"/>
            <w:vAlign w:val="bottom"/>
          </w:tcPr>
          <w:p>
            <w:pPr>
              <w:spacing w:after="0"/>
              <w:rPr>
                <w:sz w:val="20"/>
                <w:szCs w:val="20"/>
                <w:color w:val="auto"/>
              </w:rPr>
            </w:pPr>
            <w:r>
              <w:rPr>
                <w:rFonts w:ascii="Arial" w:cs="Arial" w:eastAsia="Arial" w:hAnsi="Arial"/>
                <w:sz w:val="18"/>
                <w:szCs w:val="18"/>
                <w:color w:val="auto"/>
                <w:w w:val="90"/>
              </w:rPr>
              <w:t>Property, plant and equipment, net of accumulated depreciation of $1,150,876 and $1,191,823, respectively</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487,299</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515,927</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Operating lease right-of-use assets, net</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178,974</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193,863</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Goodwill</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1,162,514</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1,196,479</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Deferred taxes</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34,582</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44,049</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Other intangible assets, net</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139,786</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152,463</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spacing w:after="0"/>
              <w:rPr>
                <w:sz w:val="20"/>
                <w:szCs w:val="20"/>
                <w:color w:val="auto"/>
              </w:rPr>
            </w:pPr>
            <w:r>
              <w:rPr>
                <w:rFonts w:ascii="Arial" w:cs="Arial" w:eastAsia="Arial" w:hAnsi="Arial"/>
                <w:sz w:val="18"/>
                <w:szCs w:val="18"/>
                <w:color w:val="auto"/>
              </w:rPr>
              <w:t>Other assets, net of allowance for expected credit losses of $67,968 and $67,696, respectively</w:t>
            </w: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298,650</w:t>
            </w:r>
          </w:p>
        </w:tc>
        <w:tc>
          <w:tcPr>
            <w:tcW w:w="6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258,310</w:t>
            </w: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7760" w:type="dxa"/>
            <w:vAlign w:val="bottom"/>
          </w:tcPr>
          <w:p>
            <w:pPr>
              <w:spacing w:after="0"/>
              <w:rPr>
                <w:sz w:val="20"/>
                <w:szCs w:val="20"/>
                <w:color w:val="auto"/>
              </w:rPr>
            </w:pPr>
            <w:r>
              <w:rPr>
                <w:rFonts w:ascii="Arial" w:cs="Arial" w:eastAsia="Arial" w:hAnsi="Arial"/>
                <w:sz w:val="18"/>
                <w:szCs w:val="18"/>
                <w:color w:val="auto"/>
              </w:rPr>
              <w:t>Total assets</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4,582,732</w:t>
            </w:r>
          </w:p>
        </w:tc>
        <w:tc>
          <w:tcPr>
            <w:tcW w:w="60" w:type="dxa"/>
            <w:vAlign w:val="bottom"/>
          </w:tcPr>
          <w:p>
            <w:pPr>
              <w:spacing w:after="0"/>
              <w:rPr>
                <w:sz w:val="20"/>
                <w:szCs w:val="20"/>
                <w:color w:val="auto"/>
              </w:rPr>
            </w:pPr>
          </w:p>
        </w:tc>
        <w:tc>
          <w:tcPr>
            <w:tcW w:w="16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4,749,768</w:t>
            </w: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76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EQUITY</w:t>
            </w: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776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Current liabilities:</w:t>
            </w:r>
          </w:p>
        </w:tc>
        <w:tc>
          <w:tcPr>
            <w:tcW w:w="1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Accounts payable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433,508</w:t>
            </w:r>
          </w:p>
        </w:tc>
        <w:tc>
          <w:tcPr>
            <w:tcW w:w="2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410,062</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Accrued liabilities</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374,575</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445,092</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Contract liabilities</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205,175</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202,965</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Debt due within one year</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46,306</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41,058</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ind w:left="220"/>
              <w:spacing w:after="0"/>
              <w:rPr>
                <w:sz w:val="20"/>
                <w:szCs w:val="20"/>
                <w:color w:val="auto"/>
              </w:rPr>
            </w:pPr>
            <w:r>
              <w:rPr>
                <w:rFonts w:ascii="Arial" w:cs="Arial" w:eastAsia="Arial" w:hAnsi="Arial"/>
                <w:sz w:val="18"/>
                <w:szCs w:val="18"/>
                <w:color w:val="auto"/>
              </w:rPr>
              <w:t>Operating lease liabilities</w:t>
            </w: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32,153</w:t>
            </w:r>
          </w:p>
        </w:tc>
        <w:tc>
          <w:tcPr>
            <w:tcW w:w="6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32,628</w:t>
            </w: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7760" w:type="dxa"/>
            <w:vAlign w:val="bottom"/>
          </w:tcPr>
          <w:p>
            <w:pPr>
              <w:ind w:left="620"/>
              <w:spacing w:after="0"/>
              <w:rPr>
                <w:sz w:val="20"/>
                <w:szCs w:val="20"/>
                <w:color w:val="auto"/>
              </w:rPr>
            </w:pPr>
            <w:r>
              <w:rPr>
                <w:rFonts w:ascii="Arial" w:cs="Arial" w:eastAsia="Arial" w:hAnsi="Arial"/>
                <w:sz w:val="18"/>
                <w:szCs w:val="18"/>
                <w:color w:val="auto"/>
              </w:rPr>
              <w:t>Total current liabilities</w:t>
            </w:r>
          </w:p>
        </w:tc>
        <w:tc>
          <w:tcPr>
            <w:tcW w:w="1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1,091,717</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1,131,805</w:t>
            </w:r>
          </w:p>
        </w:tc>
        <w:tc>
          <w:tcPr>
            <w:tcW w:w="1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7760" w:type="dxa"/>
            <w:vAlign w:val="bottom"/>
          </w:tcPr>
          <w:p>
            <w:pPr>
              <w:spacing w:after="0"/>
              <w:rPr>
                <w:sz w:val="20"/>
                <w:szCs w:val="20"/>
                <w:color w:val="auto"/>
              </w:rPr>
            </w:pPr>
            <w:r>
              <w:rPr>
                <w:rFonts w:ascii="Arial" w:cs="Arial" w:eastAsia="Arial" w:hAnsi="Arial"/>
                <w:sz w:val="18"/>
                <w:szCs w:val="18"/>
                <w:color w:val="auto"/>
              </w:rPr>
              <w:t>Long-term debt due after one year</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1,241,636</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1,261,770</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Operating lease liabilities</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153,580</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166,786</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Retirement obligations and other liabilities</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341,906</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352,062</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spacing w:after="0"/>
              <w:rPr>
                <w:sz w:val="20"/>
                <w:szCs w:val="20"/>
                <w:color w:val="auto"/>
              </w:rPr>
            </w:pPr>
            <w:r>
              <w:rPr>
                <w:rFonts w:ascii="Arial" w:cs="Arial" w:eastAsia="Arial" w:hAnsi="Arial"/>
                <w:sz w:val="18"/>
                <w:szCs w:val="18"/>
                <w:color w:val="auto"/>
              </w:rPr>
              <w:t>Shareholders’ equity:</w:t>
            </w:r>
          </w:p>
        </w:tc>
        <w:tc>
          <w:tcPr>
            <w:tcW w:w="1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Common shares, $1.25 par value</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220,991</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220,991</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340"/>
              <w:spacing w:after="0"/>
              <w:rPr>
                <w:sz w:val="20"/>
                <w:szCs w:val="20"/>
                <w:color w:val="auto"/>
              </w:rPr>
            </w:pPr>
            <w:r>
              <w:rPr>
                <w:rFonts w:ascii="Arial" w:cs="Arial" w:eastAsia="Arial" w:hAnsi="Arial"/>
                <w:sz w:val="18"/>
                <w:szCs w:val="18"/>
                <w:color w:val="auto"/>
              </w:rPr>
              <w:t>Shares authorized – 305,000</w:t>
            </w:r>
          </w:p>
        </w:tc>
        <w:tc>
          <w:tcPr>
            <w:tcW w:w="1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340"/>
              <w:spacing w:after="0"/>
              <w:rPr>
                <w:sz w:val="20"/>
                <w:szCs w:val="20"/>
                <w:color w:val="auto"/>
              </w:rPr>
            </w:pPr>
            <w:r>
              <w:rPr>
                <w:rFonts w:ascii="Arial" w:cs="Arial" w:eastAsia="Arial" w:hAnsi="Arial"/>
                <w:sz w:val="18"/>
                <w:szCs w:val="18"/>
                <w:color w:val="auto"/>
              </w:rPr>
              <w:t>Shares issued – 176,793</w:t>
            </w:r>
          </w:p>
        </w:tc>
        <w:tc>
          <w:tcPr>
            <w:tcW w:w="1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Capital in excess of par value</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500,013</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506,386</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Retained earnings</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3,666,935</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3,691,023</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Treasury shares, at cost – 46,377 and 46,794 shares, respectively</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89"/>
              </w:rPr>
              <w:t>(2,037,839)</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5"/>
              </w:rPr>
              <w:t>(2,057,706)</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60" w:type="dxa"/>
            <w:vAlign w:val="bottom"/>
          </w:tcPr>
          <w:p>
            <w:pPr>
              <w:ind w:left="220"/>
              <w:spacing w:after="0"/>
              <w:rPr>
                <w:sz w:val="20"/>
                <w:szCs w:val="20"/>
                <w:color w:val="auto"/>
              </w:rPr>
            </w:pPr>
            <w:r>
              <w:rPr>
                <w:rFonts w:ascii="Arial" w:cs="Arial" w:eastAsia="Arial" w:hAnsi="Arial"/>
                <w:sz w:val="18"/>
                <w:szCs w:val="18"/>
                <w:color w:val="auto"/>
              </w:rPr>
              <w:t>Deferred compensation obligation</w:t>
            </w:r>
          </w:p>
        </w:tc>
        <w:tc>
          <w:tcPr>
            <w:tcW w:w="10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6,921</w:t>
            </w: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7,214</w:t>
            </w:r>
          </w:p>
        </w:tc>
        <w:tc>
          <w:tcPr>
            <w:tcW w:w="1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7760" w:type="dxa"/>
            <w:vAlign w:val="bottom"/>
          </w:tcPr>
          <w:p>
            <w:pPr>
              <w:ind w:left="220"/>
              <w:spacing w:after="0"/>
              <w:rPr>
                <w:sz w:val="20"/>
                <w:szCs w:val="20"/>
                <w:color w:val="auto"/>
              </w:rPr>
            </w:pPr>
            <w:r>
              <w:rPr>
                <w:rFonts w:ascii="Arial" w:cs="Arial" w:eastAsia="Arial" w:hAnsi="Arial"/>
                <w:sz w:val="18"/>
                <w:szCs w:val="18"/>
                <w:color w:val="auto"/>
              </w:rPr>
              <w:t>Accumulated other comprehensive loss</w:t>
            </w: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(635,618)</w:t>
            </w:r>
          </w:p>
        </w:tc>
        <w:tc>
          <w:tcPr>
            <w:tcW w:w="6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(563,589)</w:t>
            </w: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7760" w:type="dxa"/>
            <w:vAlign w:val="bottom"/>
          </w:tcPr>
          <w:p>
            <w:pPr>
              <w:spacing w:after="0"/>
              <w:rPr>
                <w:sz w:val="20"/>
                <w:szCs w:val="20"/>
                <w:color w:val="auto"/>
              </w:rPr>
            </w:pPr>
            <w:r>
              <w:rPr>
                <w:rFonts w:ascii="Arial" w:cs="Arial" w:eastAsia="Arial" w:hAnsi="Arial"/>
                <w:sz w:val="18"/>
                <w:szCs w:val="18"/>
                <w:color w:val="auto"/>
              </w:rPr>
              <w:t>Total Flowserve Corporation shareholders' equity</w:t>
            </w:r>
          </w:p>
        </w:tc>
        <w:tc>
          <w:tcPr>
            <w:tcW w:w="1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1,721,403</w:t>
            </w: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1,804,319</w:t>
            </w:r>
          </w:p>
        </w:tc>
        <w:tc>
          <w:tcPr>
            <w:tcW w:w="1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7760" w:type="dxa"/>
            <w:vAlign w:val="bottom"/>
          </w:tcPr>
          <w:p>
            <w:pPr>
              <w:spacing w:after="0"/>
              <w:rPr>
                <w:sz w:val="20"/>
                <w:szCs w:val="20"/>
                <w:color w:val="auto"/>
              </w:rPr>
            </w:pPr>
            <w:r>
              <w:rPr>
                <w:rFonts w:ascii="Arial" w:cs="Arial" w:eastAsia="Arial" w:hAnsi="Arial"/>
                <w:sz w:val="18"/>
                <w:szCs w:val="18"/>
                <w:color w:val="auto"/>
              </w:rPr>
              <w:t>Noncontrolling interests</w:t>
            </w:r>
          </w:p>
        </w:tc>
        <w:tc>
          <w:tcPr>
            <w:tcW w:w="1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32,490</w:t>
            </w:r>
          </w:p>
        </w:tc>
        <w:tc>
          <w:tcPr>
            <w:tcW w:w="60" w:type="dxa"/>
            <w:vAlign w:val="bottom"/>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33,026</w:t>
            </w:r>
          </w:p>
        </w:tc>
        <w:tc>
          <w:tcPr>
            <w:tcW w:w="1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7760" w:type="dxa"/>
            <w:vAlign w:val="bottom"/>
          </w:tcPr>
          <w:p>
            <w:pPr>
              <w:ind w:left="220"/>
              <w:spacing w:after="0"/>
              <w:rPr>
                <w:sz w:val="20"/>
                <w:szCs w:val="20"/>
                <w:color w:val="auto"/>
              </w:rPr>
            </w:pPr>
            <w:r>
              <w:rPr>
                <w:rFonts w:ascii="Arial" w:cs="Arial" w:eastAsia="Arial" w:hAnsi="Arial"/>
                <w:sz w:val="18"/>
                <w:szCs w:val="18"/>
                <w:color w:val="auto"/>
              </w:rPr>
              <w:t>Total equity</w:t>
            </w:r>
          </w:p>
        </w:tc>
        <w:tc>
          <w:tcPr>
            <w:tcW w:w="10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1,753,893</w:t>
            </w:r>
          </w:p>
        </w:tc>
        <w:tc>
          <w:tcPr>
            <w:tcW w:w="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1,837,345</w:t>
            </w: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7760" w:type="dxa"/>
            <w:vAlign w:val="bottom"/>
          </w:tcPr>
          <w:p>
            <w:pPr>
              <w:spacing w:after="0"/>
              <w:rPr>
                <w:sz w:val="20"/>
                <w:szCs w:val="20"/>
                <w:color w:val="auto"/>
              </w:rPr>
            </w:pPr>
            <w:r>
              <w:rPr>
                <w:rFonts w:ascii="Arial" w:cs="Arial" w:eastAsia="Arial" w:hAnsi="Arial"/>
                <w:sz w:val="18"/>
                <w:szCs w:val="18"/>
                <w:color w:val="auto"/>
              </w:rPr>
              <w:t>Total liabilities and equity</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4,582,732</w:t>
            </w:r>
          </w:p>
        </w:tc>
        <w:tc>
          <w:tcPr>
            <w:tcW w:w="60" w:type="dxa"/>
            <w:vAlign w:val="bottom"/>
          </w:tcPr>
          <w:p>
            <w:pPr>
              <w:spacing w:after="0"/>
              <w:rPr>
                <w:sz w:val="20"/>
                <w:szCs w:val="20"/>
                <w:color w:val="auto"/>
              </w:rPr>
            </w:pPr>
          </w:p>
        </w:tc>
        <w:tc>
          <w:tcPr>
            <w:tcW w:w="16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4,749,768</w:t>
            </w:r>
          </w:p>
        </w:tc>
        <w:tc>
          <w:tcPr>
            <w:tcW w:w="1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7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7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78" w:right="339" w:bottom="1440" w:gutter="0" w:footer="0" w:header="0"/>
        </w:sectPr>
      </w:pPr>
    </w:p>
    <w:bookmarkStart w:id="16" w:name="page17"/>
    <w:bookmarkEnd w:id="1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40" w:type="dxa"/>
            <w:vAlign w:val="bottom"/>
          </w:tcPr>
          <w:p>
            <w:pPr>
              <w:spacing w:after="0"/>
              <w:rPr>
                <w:sz w:val="20"/>
                <w:szCs w:val="20"/>
                <w:color w:val="auto"/>
              </w:rPr>
            </w:pPr>
            <w:r>
              <w:rPr>
                <w:rFonts w:ascii="Arial" w:cs="Arial" w:eastAsia="Arial" w:hAnsi="Arial"/>
                <w:sz w:val="18"/>
                <w:szCs w:val="18"/>
                <w:b w:val="1"/>
                <w:bCs w:val="1"/>
                <w:color w:val="auto"/>
              </w:rPr>
              <w:t>CONDENSED CONSOLIDATED STATEMENTS OF CASH FLOWS</w:t>
            </w:r>
          </w:p>
        </w:tc>
        <w:tc>
          <w:tcPr>
            <w:tcW w:w="1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spacing w:after="0"/>
              <w:rPr>
                <w:sz w:val="20"/>
                <w:szCs w:val="20"/>
                <w:color w:val="auto"/>
              </w:rPr>
            </w:pPr>
          </w:p>
        </w:tc>
      </w:tr>
      <w:tr>
        <w:trPr>
          <w:trHeight w:val="243"/>
        </w:trPr>
        <w:tc>
          <w:tcPr>
            <w:tcW w:w="664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1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r>
      <w:tr>
        <w:trPr>
          <w:trHeight w:val="250"/>
        </w:trPr>
        <w:tc>
          <w:tcPr>
            <w:tcW w:w="6640" w:type="dxa"/>
            <w:vAlign w:val="bottom"/>
          </w:tcPr>
          <w:p>
            <w:pPr>
              <w:spacing w:after="0"/>
              <w:rPr>
                <w:sz w:val="21"/>
                <w:szCs w:val="21"/>
                <w:color w:val="auto"/>
              </w:rPr>
            </w:pPr>
          </w:p>
        </w:tc>
        <w:tc>
          <w:tcPr>
            <w:tcW w:w="2120" w:type="dxa"/>
            <w:vAlign w:val="bottom"/>
            <w:tcBorders>
              <w:bottom w:val="single" w:sz="8" w:color="auto"/>
            </w:tcBorders>
            <w:gridSpan w:val="5"/>
          </w:tcPr>
          <w:p>
            <w:pPr>
              <w:spacing w:after="0"/>
              <w:rPr>
                <w:sz w:val="20"/>
                <w:szCs w:val="20"/>
                <w:color w:val="auto"/>
              </w:rPr>
            </w:pPr>
            <w:r>
              <w:rPr>
                <w:rFonts w:ascii="Arial" w:cs="Arial" w:eastAsia="Arial" w:hAnsi="Arial"/>
                <w:sz w:val="18"/>
                <w:szCs w:val="18"/>
                <w:b w:val="1"/>
                <w:bCs w:val="1"/>
                <w:color w:val="auto"/>
                <w:w w:val="90"/>
              </w:rPr>
              <w:t>Six Months Ended June 30,</w:t>
            </w:r>
          </w:p>
        </w:tc>
      </w:tr>
      <w:tr>
        <w:trPr>
          <w:trHeight w:val="243"/>
        </w:trPr>
        <w:tc>
          <w:tcPr>
            <w:tcW w:w="6640" w:type="dxa"/>
            <w:vAlign w:val="bottom"/>
          </w:tcPr>
          <w:p>
            <w:pPr>
              <w:spacing w:after="0"/>
              <w:rPr>
                <w:sz w:val="20"/>
                <w:szCs w:val="20"/>
                <w:color w:val="auto"/>
              </w:rPr>
            </w:pPr>
            <w:r>
              <w:rPr>
                <w:rFonts w:ascii="Arial" w:cs="Arial" w:eastAsia="Arial" w:hAnsi="Arial"/>
                <w:sz w:val="18"/>
                <w:szCs w:val="18"/>
                <w:color w:val="auto"/>
              </w:rPr>
              <w:t>(Amounts in thousands)</w:t>
            </w:r>
          </w:p>
        </w:tc>
        <w:tc>
          <w:tcPr>
            <w:tcW w:w="16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2022</w:t>
            </w:r>
          </w:p>
        </w:tc>
        <w:tc>
          <w:tcPr>
            <w:tcW w:w="8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2021</w:t>
            </w:r>
          </w:p>
        </w:tc>
      </w:tr>
      <w:tr>
        <w:trPr>
          <w:trHeight w:val="466"/>
        </w:trPr>
        <w:tc>
          <w:tcPr>
            <w:tcW w:w="6640" w:type="dxa"/>
            <w:vAlign w:val="bottom"/>
          </w:tcPr>
          <w:p>
            <w:pPr>
              <w:spacing w:after="0"/>
              <w:rPr>
                <w:sz w:val="20"/>
                <w:szCs w:val="20"/>
                <w:color w:val="auto"/>
              </w:rPr>
            </w:pPr>
            <w:r>
              <w:rPr>
                <w:rFonts w:ascii="Arial" w:cs="Arial" w:eastAsia="Arial" w:hAnsi="Arial"/>
                <w:sz w:val="18"/>
                <w:szCs w:val="18"/>
                <w:b w:val="1"/>
                <w:bCs w:val="1"/>
                <w:color w:val="auto"/>
              </w:rPr>
              <w:t>Cash flows – Operating activities:</w:t>
            </w: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Net earnings, including noncontrolling interests</w:t>
            </w:r>
          </w:p>
        </w:tc>
        <w:tc>
          <w:tcPr>
            <w:tcW w:w="160" w:type="dxa"/>
            <w:vAlign w:val="bottom"/>
          </w:tcPr>
          <w:p>
            <w:pPr>
              <w:ind w:left="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32,418</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64,905</w:t>
            </w: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w w:val="90"/>
              </w:rPr>
              <w:t>Adjustments to reconcile net earnings to net cash provided (used) by operating activities:</w:t>
            </w:r>
          </w:p>
        </w:tc>
        <w:tc>
          <w:tcPr>
            <w:tcW w:w="1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Depreciation</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40,034</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44,491</w:t>
            </w: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Amortization of intangible and other assets</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6,748</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7,433</w:t>
            </w: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Loss on extinguishment of debt</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7,610</w:t>
            </w: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Stock-based compensation</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16,896</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16,472</w:t>
            </w: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Foreign currency, asset write downs and other non-cash adjustments</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(3,982)</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12,460</w:t>
            </w:r>
          </w:p>
        </w:tc>
      </w:tr>
      <w:tr>
        <w:trPr>
          <w:trHeight w:val="243"/>
        </w:trPr>
        <w:tc>
          <w:tcPr>
            <w:tcW w:w="6640" w:type="dxa"/>
            <w:vAlign w:val="bottom"/>
          </w:tcPr>
          <w:p>
            <w:pPr>
              <w:ind w:left="420"/>
              <w:spacing w:after="0"/>
              <w:rPr>
                <w:sz w:val="20"/>
                <w:szCs w:val="20"/>
                <w:color w:val="auto"/>
              </w:rPr>
            </w:pPr>
            <w:r>
              <w:rPr>
                <w:rFonts w:ascii="Arial" w:cs="Arial" w:eastAsia="Arial" w:hAnsi="Arial"/>
                <w:sz w:val="18"/>
                <w:szCs w:val="18"/>
                <w:color w:val="auto"/>
              </w:rPr>
              <w:t>Change in assets and liabilities:</w:t>
            </w:r>
          </w:p>
        </w:tc>
        <w:tc>
          <w:tcPr>
            <w:tcW w:w="16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(21,638)</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14,285</w:t>
            </w: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Inventories, net</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(96,737)</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(30,784)</w:t>
            </w: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Contract assets, net</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(7,705)</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12,232</w:t>
            </w: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Prepaid expenses and other assets, net</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(19,769)</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(16,187)</w:t>
            </w: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Accounts payable</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33,550</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(41,146)</w:t>
            </w: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Contract liabilities</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9,642</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17,026</w:t>
            </w: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Accrued liabilities and income taxes payable</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(65,773)</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(37,123)</w:t>
            </w:r>
          </w:p>
        </w:tc>
      </w:tr>
      <w:tr>
        <w:trPr>
          <w:trHeight w:val="243"/>
        </w:trPr>
        <w:tc>
          <w:tcPr>
            <w:tcW w:w="6640" w:type="dxa"/>
            <w:vAlign w:val="bottom"/>
          </w:tcPr>
          <w:p>
            <w:pPr>
              <w:ind w:left="620"/>
              <w:spacing w:after="0"/>
              <w:rPr>
                <w:sz w:val="20"/>
                <w:szCs w:val="20"/>
                <w:color w:val="auto"/>
              </w:rPr>
            </w:pPr>
            <w:r>
              <w:rPr>
                <w:rFonts w:ascii="Arial" w:cs="Arial" w:eastAsia="Arial" w:hAnsi="Arial"/>
                <w:sz w:val="18"/>
                <w:szCs w:val="18"/>
                <w:color w:val="auto"/>
              </w:rPr>
              <w:t>Retirement obligations and other</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10,028</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(2,761)</w:t>
            </w:r>
          </w:p>
        </w:tc>
      </w:tr>
      <w:tr>
        <w:trPr>
          <w:trHeight w:val="250"/>
        </w:trPr>
        <w:tc>
          <w:tcPr>
            <w:tcW w:w="6640" w:type="dxa"/>
            <w:vAlign w:val="bottom"/>
          </w:tcPr>
          <w:p>
            <w:pPr>
              <w:ind w:left="620"/>
              <w:spacing w:after="0"/>
              <w:rPr>
                <w:sz w:val="20"/>
                <w:szCs w:val="20"/>
                <w:color w:val="auto"/>
              </w:rPr>
            </w:pPr>
            <w:r>
              <w:rPr>
                <w:rFonts w:ascii="Arial" w:cs="Arial" w:eastAsia="Arial" w:hAnsi="Arial"/>
                <w:sz w:val="18"/>
                <w:szCs w:val="18"/>
                <w:color w:val="auto"/>
              </w:rPr>
              <w:t>Net deferred taxes</w:t>
            </w:r>
          </w:p>
        </w:tc>
        <w:tc>
          <w:tcPr>
            <w:tcW w:w="16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(5,079)</w:t>
            </w:r>
          </w:p>
        </w:tc>
        <w:tc>
          <w:tcPr>
            <w:tcW w:w="8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(7,607)</w:t>
            </w:r>
          </w:p>
        </w:tc>
      </w:tr>
      <w:tr>
        <w:trPr>
          <w:trHeight w:val="243"/>
        </w:trPr>
        <w:tc>
          <w:tcPr>
            <w:tcW w:w="6640" w:type="dxa"/>
            <w:vAlign w:val="bottom"/>
          </w:tcPr>
          <w:p>
            <w:pPr>
              <w:spacing w:after="0"/>
              <w:rPr>
                <w:sz w:val="20"/>
                <w:szCs w:val="20"/>
                <w:color w:val="auto"/>
              </w:rPr>
            </w:pPr>
            <w:r>
              <w:rPr>
                <w:rFonts w:ascii="Arial" w:cs="Arial" w:eastAsia="Arial" w:hAnsi="Arial"/>
                <w:sz w:val="18"/>
                <w:szCs w:val="18"/>
                <w:color w:val="auto"/>
              </w:rPr>
              <w:t>Net cash flows provided (used) by operating activities</w:t>
            </w:r>
          </w:p>
        </w:tc>
        <w:tc>
          <w:tcPr>
            <w:tcW w:w="16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(71,367)</w:t>
            </w:r>
          </w:p>
        </w:tc>
        <w:tc>
          <w:tcPr>
            <w:tcW w:w="8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61,306</w:t>
            </w:r>
          </w:p>
        </w:tc>
      </w:tr>
      <w:tr>
        <w:trPr>
          <w:trHeight w:val="223"/>
        </w:trPr>
        <w:tc>
          <w:tcPr>
            <w:tcW w:w="6640" w:type="dxa"/>
            <w:vAlign w:val="bottom"/>
          </w:tcPr>
          <w:p>
            <w:pPr>
              <w:spacing w:after="0"/>
              <w:rPr>
                <w:sz w:val="20"/>
                <w:szCs w:val="20"/>
                <w:color w:val="auto"/>
              </w:rPr>
            </w:pPr>
            <w:r>
              <w:rPr>
                <w:rFonts w:ascii="Arial" w:cs="Arial" w:eastAsia="Arial" w:hAnsi="Arial"/>
                <w:sz w:val="18"/>
                <w:szCs w:val="18"/>
                <w:b w:val="1"/>
                <w:bCs w:val="1"/>
                <w:color w:val="auto"/>
              </w:rPr>
              <w:t>Cash flows – Investing activities:</w:t>
            </w: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Capital expenditures</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(31,012)</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(22,541)</w:t>
            </w:r>
          </w:p>
        </w:tc>
      </w:tr>
      <w:tr>
        <w:trPr>
          <w:trHeight w:val="256"/>
        </w:trPr>
        <w:tc>
          <w:tcPr>
            <w:tcW w:w="6640" w:type="dxa"/>
            <w:vAlign w:val="bottom"/>
          </w:tcPr>
          <w:p>
            <w:pPr>
              <w:ind w:left="220"/>
              <w:spacing w:after="0"/>
              <w:rPr>
                <w:sz w:val="20"/>
                <w:szCs w:val="20"/>
                <w:color w:val="auto"/>
              </w:rPr>
            </w:pPr>
            <w:r>
              <w:rPr>
                <w:rFonts w:ascii="Arial" w:cs="Arial" w:eastAsia="Arial" w:hAnsi="Arial"/>
                <w:sz w:val="18"/>
                <w:szCs w:val="18"/>
                <w:color w:val="auto"/>
              </w:rPr>
              <w:t>Proceeds from disposal of assets and other</w:t>
            </w:r>
          </w:p>
        </w:tc>
        <w:tc>
          <w:tcPr>
            <w:tcW w:w="16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2,015</w:t>
            </w:r>
          </w:p>
        </w:tc>
        <w:tc>
          <w:tcPr>
            <w:tcW w:w="8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(1,299)</w:t>
            </w:r>
          </w:p>
        </w:tc>
      </w:tr>
      <w:tr>
        <w:trPr>
          <w:trHeight w:val="237"/>
        </w:trPr>
        <w:tc>
          <w:tcPr>
            <w:tcW w:w="6640" w:type="dxa"/>
            <w:vAlign w:val="bottom"/>
          </w:tcPr>
          <w:p>
            <w:pPr>
              <w:spacing w:after="0"/>
              <w:rPr>
                <w:sz w:val="20"/>
                <w:szCs w:val="20"/>
                <w:color w:val="auto"/>
              </w:rPr>
            </w:pPr>
            <w:r>
              <w:rPr>
                <w:rFonts w:ascii="Arial" w:cs="Arial" w:eastAsia="Arial" w:hAnsi="Arial"/>
                <w:sz w:val="18"/>
                <w:szCs w:val="18"/>
                <w:color w:val="auto"/>
              </w:rPr>
              <w:t>Net cash flows provided (used) by investing activities</w:t>
            </w:r>
          </w:p>
        </w:tc>
        <w:tc>
          <w:tcPr>
            <w:tcW w:w="16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(28,997)</w:t>
            </w:r>
          </w:p>
        </w:tc>
        <w:tc>
          <w:tcPr>
            <w:tcW w:w="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(23,840)</w:t>
            </w:r>
          </w:p>
        </w:tc>
      </w:tr>
      <w:tr>
        <w:trPr>
          <w:trHeight w:val="223"/>
        </w:trPr>
        <w:tc>
          <w:tcPr>
            <w:tcW w:w="6640" w:type="dxa"/>
            <w:vAlign w:val="bottom"/>
          </w:tcPr>
          <w:p>
            <w:pPr>
              <w:spacing w:after="0"/>
              <w:rPr>
                <w:sz w:val="20"/>
                <w:szCs w:val="20"/>
                <w:color w:val="auto"/>
              </w:rPr>
            </w:pPr>
            <w:r>
              <w:rPr>
                <w:rFonts w:ascii="Arial" w:cs="Arial" w:eastAsia="Arial" w:hAnsi="Arial"/>
                <w:sz w:val="18"/>
                <w:szCs w:val="18"/>
                <w:b w:val="1"/>
                <w:bCs w:val="1"/>
                <w:color w:val="auto"/>
              </w:rPr>
              <w:t>Cash flows – Financing activities:</w:t>
            </w: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on senior notes</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(407,473)</w:t>
            </w: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on term loan</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(15,921)</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Proceeds under other financing arrangements</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1,029</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1,386</w:t>
            </w: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under other financing arrangements</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(720)</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(3,256)</w:t>
            </w: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Repurchases of common shares</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(17,531)</w:t>
            </w: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related to tax withholding for stock-based compensation</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(4,497)</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(5,777)</w:t>
            </w:r>
          </w:p>
        </w:tc>
      </w:tr>
      <w:tr>
        <w:trPr>
          <w:trHeight w:val="243"/>
        </w:trPr>
        <w:tc>
          <w:tcPr>
            <w:tcW w:w="6640" w:type="dxa"/>
            <w:vAlign w:val="bottom"/>
          </w:tcPr>
          <w:p>
            <w:pPr>
              <w:ind w:left="220"/>
              <w:spacing w:after="0"/>
              <w:rPr>
                <w:sz w:val="20"/>
                <w:szCs w:val="20"/>
                <w:color w:val="auto"/>
              </w:rPr>
            </w:pPr>
            <w:r>
              <w:rPr>
                <w:rFonts w:ascii="Arial" w:cs="Arial" w:eastAsia="Arial" w:hAnsi="Arial"/>
                <w:sz w:val="18"/>
                <w:szCs w:val="18"/>
                <w:color w:val="auto"/>
              </w:rPr>
              <w:t>Payments of dividends</w:t>
            </w:r>
          </w:p>
        </w:tc>
        <w:tc>
          <w:tcPr>
            <w:tcW w:w="16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(52,267)</w:t>
            </w: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(52,168)</w:t>
            </w:r>
          </w:p>
        </w:tc>
      </w:tr>
      <w:tr>
        <w:trPr>
          <w:trHeight w:val="250"/>
        </w:trPr>
        <w:tc>
          <w:tcPr>
            <w:tcW w:w="6640" w:type="dxa"/>
            <w:vAlign w:val="bottom"/>
          </w:tcPr>
          <w:p>
            <w:pPr>
              <w:ind w:left="220"/>
              <w:spacing w:after="0"/>
              <w:rPr>
                <w:sz w:val="20"/>
                <w:szCs w:val="20"/>
                <w:color w:val="auto"/>
              </w:rPr>
            </w:pPr>
            <w:r>
              <w:rPr>
                <w:rFonts w:ascii="Arial" w:cs="Arial" w:eastAsia="Arial" w:hAnsi="Arial"/>
                <w:sz w:val="18"/>
                <w:szCs w:val="18"/>
                <w:color w:val="auto"/>
              </w:rPr>
              <w:t>Other</w:t>
            </w:r>
          </w:p>
        </w:tc>
        <w:tc>
          <w:tcPr>
            <w:tcW w:w="16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(5,334)</w:t>
            </w:r>
          </w:p>
        </w:tc>
        <w:tc>
          <w:tcPr>
            <w:tcW w:w="8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(6,275)</w:t>
            </w:r>
          </w:p>
        </w:tc>
      </w:tr>
      <w:tr>
        <w:trPr>
          <w:trHeight w:val="230"/>
        </w:trPr>
        <w:tc>
          <w:tcPr>
            <w:tcW w:w="6640" w:type="dxa"/>
            <w:vAlign w:val="bottom"/>
          </w:tcPr>
          <w:p>
            <w:pPr>
              <w:spacing w:after="0"/>
              <w:rPr>
                <w:sz w:val="20"/>
                <w:szCs w:val="20"/>
                <w:color w:val="auto"/>
              </w:rPr>
            </w:pPr>
            <w:r>
              <w:rPr>
                <w:rFonts w:ascii="Arial" w:cs="Arial" w:eastAsia="Arial" w:hAnsi="Arial"/>
                <w:sz w:val="18"/>
                <w:szCs w:val="18"/>
                <w:color w:val="auto"/>
              </w:rPr>
              <w:t>Net cash flows provided (used) by financing activities</w:t>
            </w:r>
          </w:p>
        </w:tc>
        <w:tc>
          <w:tcPr>
            <w:tcW w:w="1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(77,710)</w:t>
            </w: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(491,094)</w:t>
            </w:r>
          </w:p>
        </w:tc>
      </w:tr>
      <w:tr>
        <w:trPr>
          <w:trHeight w:val="249"/>
        </w:trPr>
        <w:tc>
          <w:tcPr>
            <w:tcW w:w="6640" w:type="dxa"/>
            <w:vAlign w:val="bottom"/>
          </w:tcPr>
          <w:p>
            <w:pPr>
              <w:spacing w:after="0"/>
              <w:rPr>
                <w:sz w:val="20"/>
                <w:szCs w:val="20"/>
                <w:color w:val="auto"/>
              </w:rPr>
            </w:pPr>
            <w:r>
              <w:rPr>
                <w:rFonts w:ascii="Arial" w:cs="Arial" w:eastAsia="Arial" w:hAnsi="Arial"/>
                <w:sz w:val="18"/>
                <w:szCs w:val="18"/>
                <w:color w:val="auto"/>
              </w:rPr>
              <w:t>Effect of exchange rate changes on cash</w:t>
            </w:r>
          </w:p>
        </w:tc>
        <w:tc>
          <w:tcPr>
            <w:tcW w:w="16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(22,033)</w:t>
            </w:r>
          </w:p>
        </w:tc>
        <w:tc>
          <w:tcPr>
            <w:tcW w:w="8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(11,249)</w:t>
            </w:r>
          </w:p>
        </w:tc>
      </w:tr>
      <w:tr>
        <w:trPr>
          <w:trHeight w:val="230"/>
        </w:trPr>
        <w:tc>
          <w:tcPr>
            <w:tcW w:w="6640" w:type="dxa"/>
            <w:vAlign w:val="bottom"/>
          </w:tcPr>
          <w:p>
            <w:pPr>
              <w:spacing w:after="0"/>
              <w:rPr>
                <w:sz w:val="20"/>
                <w:szCs w:val="20"/>
                <w:color w:val="auto"/>
              </w:rPr>
            </w:pPr>
            <w:r>
              <w:rPr>
                <w:rFonts w:ascii="Arial" w:cs="Arial" w:eastAsia="Arial" w:hAnsi="Arial"/>
                <w:sz w:val="18"/>
                <w:szCs w:val="18"/>
                <w:color w:val="auto"/>
              </w:rPr>
              <w:t>Net change in cash and cash equivalents</w:t>
            </w:r>
          </w:p>
        </w:tc>
        <w:tc>
          <w:tcPr>
            <w:tcW w:w="1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8"/>
              </w:rPr>
              <w:t>(200,107)</w:t>
            </w: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(464,877)</w:t>
            </w:r>
          </w:p>
        </w:tc>
      </w:tr>
      <w:tr>
        <w:trPr>
          <w:trHeight w:val="249"/>
        </w:trPr>
        <w:tc>
          <w:tcPr>
            <w:tcW w:w="664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16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658,452</w:t>
            </w:r>
          </w:p>
        </w:tc>
        <w:tc>
          <w:tcPr>
            <w:tcW w:w="8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7"/>
              </w:rPr>
              <w:t>1,095,274</w:t>
            </w:r>
          </w:p>
        </w:tc>
      </w:tr>
      <w:tr>
        <w:trPr>
          <w:trHeight w:val="243"/>
        </w:trPr>
        <w:tc>
          <w:tcPr>
            <w:tcW w:w="664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6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458,345</w:t>
            </w:r>
          </w:p>
        </w:tc>
        <w:tc>
          <w:tcPr>
            <w:tcW w:w="80" w:type="dxa"/>
            <w:vAlign w:val="bottom"/>
          </w:tcPr>
          <w:p>
            <w:pPr>
              <w:spacing w:after="0"/>
              <w:rPr>
                <w:sz w:val="21"/>
                <w:szCs w:val="21"/>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630,397</w:t>
            </w:r>
          </w:p>
        </w:tc>
      </w:tr>
      <w:tr>
        <w:trPr>
          <w:trHeight w:val="20"/>
        </w:trPr>
        <w:tc>
          <w:tcPr>
            <w:tcW w:w="66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Flowserve Contacts</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Investor Contacts:</w:t>
      </w:r>
    </w:p>
    <w:p>
      <w:pPr>
        <w:spacing w:after="0" w:line="8" w:lineRule="exact"/>
        <w:rPr>
          <w:sz w:val="20"/>
          <w:szCs w:val="20"/>
          <w:color w:val="auto"/>
        </w:rPr>
      </w:pPr>
    </w:p>
    <w:p>
      <w:pPr>
        <w:ind w:right="3479"/>
        <w:spacing w:after="0" w:line="236" w:lineRule="auto"/>
        <w:rPr>
          <w:sz w:val="20"/>
          <w:szCs w:val="20"/>
          <w:color w:val="auto"/>
        </w:rPr>
      </w:pPr>
      <w:r>
        <w:rPr>
          <w:rFonts w:ascii="Arial" w:cs="Arial" w:eastAsia="Arial" w:hAnsi="Arial"/>
          <w:sz w:val="22"/>
          <w:szCs w:val="22"/>
          <w:color w:val="auto"/>
        </w:rPr>
        <w:t>Jay Roueche, Vice President, Investor Relations &amp; Treasurer (972) 443-6560 Mike Mullin, Director, Investor Relations (214) 697-8568</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Media Contact:</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Lars Rosene, Vice President, Corporate Communications &amp; Public Affairs (972) 443-6644</w:t>
      </w:r>
    </w:p>
    <w:sectPr>
      <w:pgSz w:w="11900" w:h="16838" w:orient="portrait"/>
      <w:cols w:equalWidth="0" w:num="1">
        <w:col w:w="10139"/>
      </w:cols>
      <w:pgMar w:left="320" w:top="37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1)"/>
      <w:numFmt w:val="lowerLetter"/>
      <w:start w:val="4"/>
    </w:lvl>
  </w:abstractNum>
  <w:abstractNum w:abstractNumId="2">
    <w:nsid w:val="3D1B58BA"/>
    <w:multiLevelType w:val="hybridMultilevel"/>
    <w:lvl w:ilvl="0">
      <w:lvlJc w:val="left"/>
      <w:lvlText w:val="1"/>
      <w:numFmt w:val="bullet"/>
      <w:start w:val="1"/>
    </w:lvl>
  </w:abstractNum>
  <w:abstractNum w:abstractNumId="3">
    <w:nsid w:val="507ED7AB"/>
    <w:multiLevelType w:val="hybridMultilevel"/>
    <w:lvl w:ilvl="0">
      <w:lvlJc w:val="left"/>
      <w:lvlText w:val="2"/>
      <w:numFmt w:val="bullet"/>
      <w:start w:val="1"/>
    </w:lvl>
  </w:abstractNum>
  <w:abstractNum w:abstractNumId="4">
    <w:nsid w:val="2EB141F2"/>
    <w:multiLevelType w:val="hybridMultilevel"/>
    <w:lvl w:ilvl="0">
      <w:lvlJc w:val="left"/>
      <w:lvlText w:val="(%1)"/>
      <w:numFmt w:val="decimal"/>
      <w:start w:val="1"/>
    </w:lvl>
  </w:abstractNum>
  <w:abstractNum w:abstractNumId="5">
    <w:nsid w:val="41B71EFB"/>
    <w:multiLevelType w:val="hybridMultilevel"/>
    <w:lvl w:ilvl="0">
      <w:lvlJc w:val="left"/>
      <w:lvlText w:val="(%1)"/>
      <w:numFmt w:val="decimal"/>
      <w:start w:val="1"/>
    </w:lvl>
  </w:abstractNum>
  <w:abstractNum w:abstractNumId="6">
    <w:nsid w:val="79E2A9E3"/>
    <w:multiLevelType w:val="hybridMultilevel"/>
    <w:lvl w:ilvl="0">
      <w:lvlJc w:val="left"/>
      <w:lvlText w:val="(%1)"/>
      <w:numFmt w:val="decimal"/>
      <w:start w:val="1"/>
    </w:lvl>
  </w:abstractNum>
  <w:abstractNum w:abstractNumId="7">
    <w:nsid w:val="7545E14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2022-07-27T16:12:54Z</dcterms:created>
  <dcterms:modified xsi:type="dcterms:W3CDTF">2022-07-27T16:12:54Z</dcterms:modified>
</cp:coreProperties>
</file>