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157480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191770</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6"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229870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May 11,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216535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8"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FLOWSERVE CORPORATION</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3" w:lineRule="exact"/>
        <w:rPr>
          <w:sz w:val="24"/>
          <w:szCs w:val="24"/>
          <w:color w:val="auto"/>
        </w:rPr>
      </w:pPr>
    </w:p>
    <w:tbl>
      <w:tblPr>
        <w:tblLayout w:type="fixed"/>
        <w:tblInd w:w="4" w:type="dxa"/>
        <w:tblCellMar>
          <w:top w:w="0" w:type="dxa"/>
          <w:left w:w="0" w:type="dxa"/>
          <w:bottom w:w="0" w:type="dxa"/>
          <w:right w:w="0" w:type="dxa"/>
        </w:tblCellMar>
      </w:tblPr>
      <w:tr>
        <w:trPr>
          <w:trHeight w:val="212"/>
        </w:trPr>
        <w:tc>
          <w:tcPr>
            <w:tcW w:w="3260" w:type="dxa"/>
            <w:vAlign w:val="bottom"/>
          </w:tcPr>
          <w:p>
            <w:pPr>
              <w:jc w:val="center"/>
              <w:ind w:left="379"/>
              <w:spacing w:after="0"/>
              <w:rPr>
                <w:sz w:val="20"/>
                <w:szCs w:val="20"/>
                <w:color w:val="auto"/>
              </w:rPr>
            </w:pPr>
            <w:r>
              <w:rPr>
                <w:rFonts w:ascii="Arial" w:cs="Arial" w:eastAsia="Arial" w:hAnsi="Arial"/>
                <w:sz w:val="18"/>
                <w:szCs w:val="18"/>
                <w:b w:val="1"/>
                <w:bCs w:val="1"/>
                <w:color w:val="auto"/>
                <w:w w:val="92"/>
              </w:rPr>
              <w:t>New York</w:t>
            </w:r>
          </w:p>
        </w:tc>
        <w:tc>
          <w:tcPr>
            <w:tcW w:w="3400" w:type="dxa"/>
            <w:vAlign w:val="bottom"/>
            <w:gridSpan w:val="4"/>
          </w:tcPr>
          <w:p>
            <w:pPr>
              <w:jc w:val="right"/>
              <w:ind w:right="700"/>
              <w:spacing w:after="0"/>
              <w:rPr>
                <w:sz w:val="20"/>
                <w:szCs w:val="20"/>
                <w:color w:val="auto"/>
              </w:rPr>
            </w:pPr>
            <w:r>
              <w:rPr>
                <w:rFonts w:ascii="Arial" w:cs="Arial" w:eastAsia="Arial" w:hAnsi="Arial"/>
                <w:sz w:val="18"/>
                <w:szCs w:val="18"/>
                <w:b w:val="1"/>
                <w:bCs w:val="1"/>
                <w:color w:val="auto"/>
              </w:rPr>
              <w:t>1-13179</w:t>
            </w: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20" w:type="dxa"/>
            <w:vAlign w:val="bottom"/>
          </w:tcPr>
          <w:p>
            <w:pPr>
              <w:jc w:val="center"/>
              <w:ind w:right="240"/>
              <w:spacing w:after="0"/>
              <w:rPr>
                <w:sz w:val="20"/>
                <w:szCs w:val="20"/>
                <w:color w:val="auto"/>
              </w:rPr>
            </w:pPr>
            <w:r>
              <w:rPr>
                <w:rFonts w:ascii="Arial" w:cs="Arial" w:eastAsia="Arial" w:hAnsi="Arial"/>
                <w:sz w:val="18"/>
                <w:szCs w:val="18"/>
                <w:b w:val="1"/>
                <w:bCs w:val="1"/>
                <w:color w:val="auto"/>
                <w:w w:val="89"/>
              </w:rPr>
              <w:t>31-0267900</w:t>
            </w:r>
          </w:p>
        </w:tc>
        <w:tc>
          <w:tcPr>
            <w:tcW w:w="0" w:type="dxa"/>
            <w:vAlign w:val="bottom"/>
          </w:tcPr>
          <w:p>
            <w:pPr>
              <w:spacing w:after="0"/>
              <w:rPr>
                <w:sz w:val="1"/>
                <w:szCs w:val="1"/>
                <w:color w:val="auto"/>
              </w:rPr>
            </w:pPr>
          </w:p>
        </w:tc>
      </w:tr>
      <w:tr>
        <w:trPr>
          <w:trHeight w:val="148"/>
        </w:trPr>
        <w:tc>
          <w:tcPr>
            <w:tcW w:w="3260" w:type="dxa"/>
            <w:vAlign w:val="bottom"/>
          </w:tcPr>
          <w:p>
            <w:pPr>
              <w:jc w:val="center"/>
              <w:ind w:left="35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60" w:type="dxa"/>
            <w:vAlign w:val="bottom"/>
            <w:gridSpan w:val="4"/>
          </w:tcPr>
          <w:p>
            <w:pPr>
              <w:jc w:val="center"/>
              <w:ind w:right="1000"/>
              <w:spacing w:after="0" w:line="149" w:lineRule="exact"/>
              <w:rPr>
                <w:sz w:val="20"/>
                <w:szCs w:val="20"/>
                <w:color w:val="auto"/>
              </w:rPr>
            </w:pPr>
            <w:r>
              <w:rPr>
                <w:rFonts w:ascii="Arial" w:cs="Arial" w:eastAsia="Arial" w:hAnsi="Arial"/>
                <w:sz w:val="14"/>
                <w:szCs w:val="14"/>
                <w:b w:val="1"/>
                <w:bCs w:val="1"/>
                <w:color w:val="auto"/>
                <w:w w:val="92"/>
              </w:rPr>
              <w:t>(Commission</w:t>
            </w:r>
          </w:p>
        </w:tc>
        <w:tc>
          <w:tcPr>
            <w:tcW w:w="3220" w:type="dxa"/>
            <w:vAlign w:val="bottom"/>
          </w:tcPr>
          <w:p>
            <w:pPr>
              <w:jc w:val="center"/>
              <w:ind w:right="240"/>
              <w:spacing w:after="0" w:line="149" w:lineRule="exact"/>
              <w:rPr>
                <w:sz w:val="20"/>
                <w:szCs w:val="20"/>
                <w:color w:val="auto"/>
              </w:rPr>
            </w:pPr>
            <w:r>
              <w:rPr>
                <w:rFonts w:ascii="Arial" w:cs="Arial" w:eastAsia="Arial" w:hAnsi="Arial"/>
                <w:sz w:val="14"/>
                <w:szCs w:val="14"/>
                <w:b w:val="1"/>
                <w:bCs w:val="1"/>
                <w:color w:val="auto"/>
                <w:w w:val="98"/>
              </w:rPr>
              <w:t>(IRS Employer</w:t>
            </w:r>
          </w:p>
        </w:tc>
        <w:tc>
          <w:tcPr>
            <w:tcW w:w="0" w:type="dxa"/>
            <w:vAlign w:val="bottom"/>
          </w:tcPr>
          <w:p>
            <w:pPr>
              <w:spacing w:after="0"/>
              <w:rPr>
                <w:sz w:val="1"/>
                <w:szCs w:val="1"/>
                <w:color w:val="auto"/>
              </w:rPr>
            </w:pPr>
          </w:p>
        </w:tc>
      </w:tr>
      <w:tr>
        <w:trPr>
          <w:trHeight w:val="186"/>
        </w:trPr>
        <w:tc>
          <w:tcPr>
            <w:tcW w:w="3260" w:type="dxa"/>
            <w:vAlign w:val="bottom"/>
          </w:tcPr>
          <w:p>
            <w:pPr>
              <w:jc w:val="center"/>
              <w:ind w:left="359"/>
              <w:spacing w:after="0"/>
              <w:rPr>
                <w:sz w:val="20"/>
                <w:szCs w:val="20"/>
                <w:color w:val="auto"/>
              </w:rPr>
            </w:pPr>
            <w:r>
              <w:rPr>
                <w:rFonts w:ascii="Arial" w:cs="Arial" w:eastAsia="Arial" w:hAnsi="Arial"/>
                <w:sz w:val="14"/>
                <w:szCs w:val="14"/>
                <w:b w:val="1"/>
                <w:bCs w:val="1"/>
                <w:color w:val="auto"/>
                <w:w w:val="94"/>
              </w:rPr>
              <w:t>of Incorporation)</w:t>
            </w: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60" w:type="dxa"/>
            <w:vAlign w:val="bottom"/>
            <w:gridSpan w:val="4"/>
          </w:tcPr>
          <w:p>
            <w:pPr>
              <w:jc w:val="center"/>
              <w:ind w:right="1000"/>
              <w:spacing w:after="0"/>
              <w:rPr>
                <w:sz w:val="20"/>
                <w:szCs w:val="20"/>
                <w:color w:val="auto"/>
              </w:rPr>
            </w:pPr>
            <w:r>
              <w:rPr>
                <w:rFonts w:ascii="Arial" w:cs="Arial" w:eastAsia="Arial" w:hAnsi="Arial"/>
                <w:sz w:val="14"/>
                <w:szCs w:val="14"/>
                <w:b w:val="1"/>
                <w:bCs w:val="1"/>
                <w:color w:val="auto"/>
                <w:w w:val="95"/>
              </w:rPr>
              <w:t>File Number)</w:t>
            </w:r>
          </w:p>
        </w:tc>
        <w:tc>
          <w:tcPr>
            <w:tcW w:w="3220" w:type="dxa"/>
            <w:vAlign w:val="bottom"/>
          </w:tcPr>
          <w:p>
            <w:pPr>
              <w:jc w:val="center"/>
              <w:ind w:right="240"/>
              <w:spacing w:after="0"/>
              <w:rPr>
                <w:sz w:val="20"/>
                <w:szCs w:val="20"/>
                <w:color w:val="auto"/>
              </w:rPr>
            </w:pPr>
            <w:r>
              <w:rPr>
                <w:rFonts w:ascii="Arial" w:cs="Arial" w:eastAsia="Arial" w:hAnsi="Arial"/>
                <w:sz w:val="14"/>
                <w:szCs w:val="14"/>
                <w:b w:val="1"/>
                <w:bCs w:val="1"/>
                <w:color w:val="auto"/>
                <w:w w:val="96"/>
              </w:rPr>
              <w:t>Identification No.)</w:t>
            </w:r>
          </w:p>
        </w:tc>
        <w:tc>
          <w:tcPr>
            <w:tcW w:w="0" w:type="dxa"/>
            <w:vAlign w:val="bottom"/>
          </w:tcPr>
          <w:p>
            <w:pPr>
              <w:spacing w:after="0"/>
              <w:rPr>
                <w:sz w:val="1"/>
                <w:szCs w:val="1"/>
                <w:color w:val="auto"/>
              </w:rPr>
            </w:pPr>
          </w:p>
        </w:tc>
      </w:tr>
      <w:tr>
        <w:trPr>
          <w:trHeight w:val="394"/>
        </w:trPr>
        <w:tc>
          <w:tcPr>
            <w:tcW w:w="7800" w:type="dxa"/>
            <w:vAlign w:val="bottom"/>
            <w:gridSpan w:val="8"/>
          </w:tcPr>
          <w:p>
            <w:pPr>
              <w:jc w:val="center"/>
              <w:ind w:right="2240"/>
              <w:spacing w:after="0"/>
              <w:rPr>
                <w:sz w:val="20"/>
                <w:szCs w:val="20"/>
                <w:color w:val="auto"/>
              </w:rPr>
            </w:pPr>
            <w:r>
              <w:rPr>
                <w:rFonts w:ascii="Arial" w:cs="Arial" w:eastAsia="Arial" w:hAnsi="Arial"/>
                <w:sz w:val="18"/>
                <w:szCs w:val="18"/>
                <w:b w:val="1"/>
                <w:bCs w:val="1"/>
                <w:color w:val="auto"/>
                <w:w w:val="91"/>
              </w:rPr>
              <w:t>5215 N. O’Connor Blvd., Suite 2300, Irving, Texas</w:t>
            </w:r>
          </w:p>
        </w:tc>
        <w:tc>
          <w:tcPr>
            <w:tcW w:w="3220" w:type="dxa"/>
            <w:vAlign w:val="bottom"/>
          </w:tcPr>
          <w:p>
            <w:pPr>
              <w:jc w:val="right"/>
              <w:ind w:right="2380"/>
              <w:spacing w:after="0"/>
              <w:rPr>
                <w:sz w:val="20"/>
                <w:szCs w:val="20"/>
                <w:color w:val="auto"/>
              </w:rPr>
            </w:pPr>
            <w:r>
              <w:rPr>
                <w:rFonts w:ascii="Arial" w:cs="Arial" w:eastAsia="Arial" w:hAnsi="Arial"/>
                <w:sz w:val="18"/>
                <w:szCs w:val="18"/>
                <w:b w:val="1"/>
                <w:bCs w:val="1"/>
                <w:color w:val="auto"/>
              </w:rPr>
              <w:t>75039</w:t>
            </w:r>
          </w:p>
        </w:tc>
        <w:tc>
          <w:tcPr>
            <w:tcW w:w="0" w:type="dxa"/>
            <w:vAlign w:val="bottom"/>
          </w:tcPr>
          <w:p>
            <w:pPr>
              <w:spacing w:after="0"/>
              <w:rPr>
                <w:sz w:val="1"/>
                <w:szCs w:val="1"/>
                <w:color w:val="auto"/>
              </w:rPr>
            </w:pPr>
          </w:p>
        </w:tc>
      </w:tr>
      <w:tr>
        <w:trPr>
          <w:trHeight w:val="186"/>
        </w:trPr>
        <w:tc>
          <w:tcPr>
            <w:tcW w:w="7800" w:type="dxa"/>
            <w:vAlign w:val="bottom"/>
            <w:gridSpan w:val="8"/>
          </w:tcPr>
          <w:p>
            <w:pPr>
              <w:jc w:val="center"/>
              <w:ind w:right="2260"/>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3220" w:type="dxa"/>
            <w:vAlign w:val="bottom"/>
          </w:tcPr>
          <w:p>
            <w:pPr>
              <w:jc w:val="center"/>
              <w:ind w:right="2060"/>
              <w:spacing w:after="0"/>
              <w:rPr>
                <w:sz w:val="20"/>
                <w:szCs w:val="20"/>
                <w:color w:val="auto"/>
              </w:rPr>
            </w:pPr>
            <w:r>
              <w:rPr>
                <w:rFonts w:ascii="Arial" w:cs="Arial" w:eastAsia="Arial" w:hAnsi="Arial"/>
                <w:sz w:val="14"/>
                <w:szCs w:val="14"/>
                <w:b w:val="1"/>
                <w:bCs w:val="1"/>
                <w:color w:val="auto"/>
                <w:w w:val="98"/>
              </w:rPr>
              <w:t>(Zip Code)</w:t>
            </w:r>
          </w:p>
        </w:tc>
        <w:tc>
          <w:tcPr>
            <w:tcW w:w="0" w:type="dxa"/>
            <w:vAlign w:val="bottom"/>
          </w:tcPr>
          <w:p>
            <w:pPr>
              <w:spacing w:after="0"/>
              <w:rPr>
                <w:sz w:val="1"/>
                <w:szCs w:val="1"/>
                <w:color w:val="auto"/>
              </w:rPr>
            </w:pPr>
          </w:p>
        </w:tc>
      </w:tr>
      <w:tr>
        <w:trPr>
          <w:trHeight w:val="394"/>
        </w:trPr>
        <w:tc>
          <w:tcPr>
            <w:tcW w:w="3260" w:type="dxa"/>
            <w:vAlign w:val="bottom"/>
          </w:tcPr>
          <w:p>
            <w:pPr>
              <w:spacing w:after="0"/>
              <w:rPr>
                <w:sz w:val="24"/>
                <w:szCs w:val="24"/>
                <w:color w:val="auto"/>
              </w:rPr>
            </w:pPr>
          </w:p>
        </w:tc>
        <w:tc>
          <w:tcPr>
            <w:tcW w:w="3400" w:type="dxa"/>
            <w:vAlign w:val="bottom"/>
            <w:gridSpan w:val="4"/>
          </w:tcPr>
          <w:p>
            <w:pPr>
              <w:jc w:val="center"/>
              <w:ind w:left="995"/>
              <w:spacing w:after="0"/>
              <w:rPr>
                <w:sz w:val="20"/>
                <w:szCs w:val="20"/>
                <w:color w:val="auto"/>
              </w:rPr>
            </w:pPr>
            <w:r>
              <w:rPr>
                <w:rFonts w:ascii="Arial" w:cs="Arial" w:eastAsia="Arial" w:hAnsi="Arial"/>
                <w:sz w:val="18"/>
                <w:szCs w:val="18"/>
                <w:b w:val="1"/>
                <w:bCs w:val="1"/>
                <w:color w:val="auto"/>
                <w:w w:val="90"/>
              </w:rPr>
              <w:t>(972) 443-6500</w:t>
            </w: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32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40" w:type="dxa"/>
            <w:vAlign w:val="bottom"/>
            <w:gridSpan w:val="5"/>
          </w:tcPr>
          <w:p>
            <w:pPr>
              <w:jc w:val="center"/>
              <w:ind w:right="560"/>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3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94"/>
        </w:trPr>
        <w:tc>
          <w:tcPr>
            <w:tcW w:w="3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60" w:type="dxa"/>
            <w:vAlign w:val="bottom"/>
            <w:gridSpan w:val="4"/>
          </w:tcPr>
          <w:p>
            <w:pPr>
              <w:jc w:val="center"/>
              <w:ind w:right="1140"/>
              <w:spacing w:after="0"/>
              <w:rPr>
                <w:sz w:val="20"/>
                <w:szCs w:val="20"/>
                <w:color w:val="auto"/>
              </w:rPr>
            </w:pPr>
            <w:r>
              <w:rPr>
                <w:rFonts w:ascii="Arial" w:cs="Arial" w:eastAsia="Arial" w:hAnsi="Arial"/>
                <w:sz w:val="18"/>
                <w:szCs w:val="18"/>
                <w:b w:val="1"/>
                <w:bCs w:val="1"/>
                <w:color w:val="auto"/>
              </w:rPr>
              <w:t>N/A</w:t>
            </w:r>
          </w:p>
        </w:tc>
        <w:tc>
          <w:tcPr>
            <w:tcW w:w="3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3260" w:type="dxa"/>
            <w:vAlign w:val="bottom"/>
          </w:tcPr>
          <w:p>
            <w:pPr>
              <w:spacing w:after="0"/>
              <w:rPr>
                <w:sz w:val="16"/>
                <w:szCs w:val="16"/>
                <w:color w:val="auto"/>
              </w:rPr>
            </w:pPr>
          </w:p>
        </w:tc>
        <w:tc>
          <w:tcPr>
            <w:tcW w:w="4540" w:type="dxa"/>
            <w:vAlign w:val="bottom"/>
            <w:gridSpan w:val="7"/>
          </w:tcPr>
          <w:p>
            <w:pPr>
              <w:jc w:val="center"/>
              <w:ind w:right="40"/>
              <w:spacing w:after="0"/>
              <w:rPr>
                <w:sz w:val="20"/>
                <w:szCs w:val="20"/>
                <w:color w:val="auto"/>
              </w:rPr>
            </w:pPr>
            <w:r>
              <w:rPr>
                <w:rFonts w:ascii="Arial" w:cs="Arial" w:eastAsia="Arial" w:hAnsi="Arial"/>
                <w:sz w:val="14"/>
                <w:szCs w:val="14"/>
                <w:b w:val="1"/>
                <w:bCs w:val="1"/>
                <w:color w:val="auto"/>
                <w:w w:val="93"/>
              </w:rPr>
              <w:t>(Former Name or Former Address, if Changed Since Last Report)</w:t>
            </w:r>
          </w:p>
        </w:tc>
        <w:tc>
          <w:tcPr>
            <w:tcW w:w="3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09"/>
        </w:trPr>
        <w:tc>
          <w:tcPr>
            <w:tcW w:w="3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5"/>
        </w:trPr>
        <w:tc>
          <w:tcPr>
            <w:tcW w:w="3260" w:type="dxa"/>
            <w:vAlign w:val="bottom"/>
          </w:tcPr>
          <w:p>
            <w:pPr>
              <w:spacing w:after="0"/>
              <w:rPr>
                <w:sz w:val="24"/>
                <w:szCs w:val="24"/>
                <w:color w:val="auto"/>
              </w:rPr>
            </w:pPr>
          </w:p>
        </w:tc>
        <w:tc>
          <w:tcPr>
            <w:tcW w:w="4540" w:type="dxa"/>
            <w:vAlign w:val="bottom"/>
            <w:gridSpan w:val="7"/>
          </w:tcPr>
          <w:p>
            <w:pPr>
              <w:jc w:val="center"/>
              <w:ind w:right="40"/>
              <w:spacing w:after="0"/>
              <w:rPr>
                <w:sz w:val="20"/>
                <w:szCs w:val="20"/>
                <w:color w:val="auto"/>
              </w:rPr>
            </w:pPr>
            <w:r>
              <w:rPr>
                <w:rFonts w:ascii="Arial" w:cs="Arial" w:eastAsia="Arial" w:hAnsi="Arial"/>
                <w:sz w:val="18"/>
                <w:szCs w:val="18"/>
                <w:color w:val="auto"/>
                <w:w w:val="90"/>
              </w:rPr>
              <w:t>Securities registered pursuant to Section 12(b) of the Act:</w:t>
            </w:r>
          </w:p>
        </w:tc>
        <w:tc>
          <w:tcPr>
            <w:tcW w:w="3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3260" w:type="dxa"/>
            <w:vAlign w:val="bottom"/>
            <w:vMerge w:val="restart"/>
          </w:tcPr>
          <w:p>
            <w:pPr>
              <w:jc w:val="center"/>
              <w:ind w:left="379"/>
              <w:spacing w:after="0"/>
              <w:rPr>
                <w:sz w:val="20"/>
                <w:szCs w:val="20"/>
                <w:color w:val="auto"/>
              </w:rPr>
            </w:pPr>
            <w:r>
              <w:rPr>
                <w:rFonts w:ascii="Arial" w:cs="Arial" w:eastAsia="Arial" w:hAnsi="Arial"/>
                <w:sz w:val="14"/>
                <w:szCs w:val="14"/>
                <w:b w:val="1"/>
                <w:bCs w:val="1"/>
                <w:color w:val="auto"/>
                <w:w w:val="89"/>
              </w:rPr>
              <w:t>Title of each class</w:t>
            </w: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60" w:type="dxa"/>
            <w:vAlign w:val="bottom"/>
            <w:gridSpan w:val="4"/>
          </w:tcPr>
          <w:p>
            <w:pPr>
              <w:jc w:val="center"/>
              <w:ind w:right="1000"/>
              <w:spacing w:after="0"/>
              <w:rPr>
                <w:sz w:val="20"/>
                <w:szCs w:val="20"/>
                <w:color w:val="auto"/>
              </w:rPr>
            </w:pPr>
            <w:r>
              <w:rPr>
                <w:rFonts w:ascii="Arial" w:cs="Arial" w:eastAsia="Arial" w:hAnsi="Arial"/>
                <w:sz w:val="14"/>
                <w:szCs w:val="14"/>
                <w:b w:val="1"/>
                <w:bCs w:val="1"/>
                <w:color w:val="auto"/>
                <w:w w:val="97"/>
              </w:rPr>
              <w:t>Trading</w:t>
            </w:r>
          </w:p>
        </w:tc>
        <w:tc>
          <w:tcPr>
            <w:tcW w:w="3220" w:type="dxa"/>
            <w:vAlign w:val="bottom"/>
          </w:tcPr>
          <w:p>
            <w:pPr>
              <w:jc w:val="center"/>
              <w:ind w:right="240"/>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71"/>
        </w:trPr>
        <w:tc>
          <w:tcPr>
            <w:tcW w:w="3260" w:type="dxa"/>
            <w:vAlign w:val="bottom"/>
            <w:vMerge w:val="continue"/>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60" w:type="dxa"/>
            <w:vAlign w:val="bottom"/>
            <w:gridSpan w:val="4"/>
          </w:tcPr>
          <w:p>
            <w:pPr>
              <w:jc w:val="center"/>
              <w:ind w:right="1000"/>
              <w:spacing w:after="0"/>
              <w:rPr>
                <w:sz w:val="20"/>
                <w:szCs w:val="20"/>
                <w:color w:val="auto"/>
              </w:rPr>
            </w:pPr>
            <w:r>
              <w:rPr>
                <w:rFonts w:ascii="Arial" w:cs="Arial" w:eastAsia="Arial" w:hAnsi="Arial"/>
                <w:sz w:val="14"/>
                <w:szCs w:val="14"/>
                <w:b w:val="1"/>
                <w:bCs w:val="1"/>
                <w:color w:val="auto"/>
                <w:w w:val="91"/>
              </w:rPr>
              <w:t>Symbol(s)</w:t>
            </w:r>
          </w:p>
        </w:tc>
        <w:tc>
          <w:tcPr>
            <w:tcW w:w="3220" w:type="dxa"/>
            <w:vAlign w:val="bottom"/>
          </w:tcPr>
          <w:p>
            <w:pPr>
              <w:jc w:val="center"/>
              <w:ind w:right="240"/>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191"/>
        </w:trPr>
        <w:tc>
          <w:tcPr>
            <w:tcW w:w="3260" w:type="dxa"/>
            <w:vAlign w:val="bottom"/>
            <w:tcBorders>
              <w:top w:val="single" w:sz="8" w:color="auto"/>
            </w:tcBorders>
          </w:tcPr>
          <w:p>
            <w:pPr>
              <w:jc w:val="center"/>
              <w:ind w:left="379"/>
              <w:spacing w:after="0" w:line="191" w:lineRule="exact"/>
              <w:rPr>
                <w:sz w:val="20"/>
                <w:szCs w:val="20"/>
                <w:color w:val="auto"/>
              </w:rPr>
            </w:pPr>
            <w:r>
              <w:rPr>
                <w:rFonts w:ascii="Arial" w:cs="Arial" w:eastAsia="Arial" w:hAnsi="Arial"/>
                <w:sz w:val="18"/>
                <w:szCs w:val="18"/>
                <w:b w:val="1"/>
                <w:bCs w:val="1"/>
                <w:color w:val="auto"/>
                <w:w w:val="90"/>
              </w:rPr>
              <w:t>Common Stock, $1.25 Par Value</w:t>
            </w:r>
          </w:p>
        </w:tc>
        <w:tc>
          <w:tcPr>
            <w:tcW w:w="440" w:type="dxa"/>
            <w:vAlign w:val="bottom"/>
            <w:tcBorders>
              <w:top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Borders>
              <w:top w:val="single" w:sz="8" w:color="auto"/>
            </w:tcBorders>
          </w:tcPr>
          <w:p>
            <w:pPr>
              <w:spacing w:after="0"/>
              <w:rPr>
                <w:sz w:val="16"/>
                <w:szCs w:val="16"/>
                <w:color w:val="auto"/>
              </w:rPr>
            </w:pPr>
          </w:p>
        </w:tc>
        <w:tc>
          <w:tcPr>
            <w:tcW w:w="3040" w:type="dxa"/>
            <w:vAlign w:val="bottom"/>
            <w:tcBorders>
              <w:top w:val="single" w:sz="8" w:color="auto"/>
            </w:tcBorders>
            <w:gridSpan w:val="2"/>
          </w:tcPr>
          <w:p>
            <w:pPr>
              <w:jc w:val="center"/>
              <w:ind w:right="580"/>
              <w:spacing w:after="0" w:line="191" w:lineRule="exact"/>
              <w:rPr>
                <w:sz w:val="20"/>
                <w:szCs w:val="20"/>
                <w:color w:val="auto"/>
              </w:rPr>
            </w:pPr>
            <w:r>
              <w:rPr>
                <w:rFonts w:ascii="Arial" w:cs="Arial" w:eastAsia="Arial" w:hAnsi="Arial"/>
                <w:sz w:val="18"/>
                <w:szCs w:val="18"/>
                <w:b w:val="1"/>
                <w:bCs w:val="1"/>
                <w:color w:val="auto"/>
                <w:w w:val="99"/>
              </w:rPr>
              <w:t>FLS</w:t>
            </w:r>
          </w:p>
        </w:tc>
        <w:tc>
          <w:tcPr>
            <w:tcW w:w="10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3220" w:type="dxa"/>
            <w:vAlign w:val="bottom"/>
            <w:tcBorders>
              <w:top w:val="single" w:sz="8" w:color="auto"/>
            </w:tcBorders>
          </w:tcPr>
          <w:p>
            <w:pPr>
              <w:jc w:val="center"/>
              <w:ind w:right="240"/>
              <w:spacing w:after="0" w:line="191" w:lineRule="exact"/>
              <w:rPr>
                <w:sz w:val="20"/>
                <w:szCs w:val="20"/>
                <w:color w:val="auto"/>
              </w:rPr>
            </w:pPr>
            <w:r>
              <w:rPr>
                <w:rFonts w:ascii="Arial" w:cs="Arial" w:eastAsia="Arial" w:hAnsi="Arial"/>
                <w:sz w:val="18"/>
                <w:szCs w:val="18"/>
                <w:b w:val="1"/>
                <w:bCs w:val="1"/>
                <w:color w:val="auto"/>
                <w:w w:val="89"/>
              </w:rPr>
              <w:t>New York Stock Exchange</w:t>
            </w:r>
          </w:p>
        </w:tc>
        <w:tc>
          <w:tcPr>
            <w:tcW w:w="0" w:type="dxa"/>
            <w:vAlign w:val="bottom"/>
          </w:tcPr>
          <w:p>
            <w:pPr>
              <w:spacing w:after="0"/>
              <w:rPr>
                <w:sz w:val="1"/>
                <w:szCs w:val="1"/>
                <w:color w:val="auto"/>
              </w:rPr>
            </w:pPr>
          </w:p>
        </w:tc>
      </w:tr>
      <w:tr>
        <w:trPr>
          <w:trHeight w:val="234"/>
        </w:trPr>
        <w:tc>
          <w:tcPr>
            <w:tcW w:w="3260" w:type="dxa"/>
            <w:vAlign w:val="bottom"/>
          </w:tcPr>
          <w:p>
            <w:pPr>
              <w:jc w:val="center"/>
              <w:ind w:left="379"/>
              <w:spacing w:after="0"/>
              <w:rPr>
                <w:sz w:val="20"/>
                <w:szCs w:val="20"/>
                <w:color w:val="auto"/>
              </w:rPr>
            </w:pPr>
            <w:r>
              <w:rPr>
                <w:rFonts w:ascii="Arial" w:cs="Arial" w:eastAsia="Arial" w:hAnsi="Arial"/>
                <w:sz w:val="18"/>
                <w:szCs w:val="18"/>
                <w:b w:val="1"/>
                <w:bCs w:val="1"/>
                <w:color w:val="auto"/>
                <w:w w:val="89"/>
              </w:rPr>
              <w:t>1.25% Senior Notes due 2022</w:t>
            </w:r>
          </w:p>
        </w:tc>
        <w:tc>
          <w:tcPr>
            <w:tcW w:w="4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460" w:type="dxa"/>
            <w:vAlign w:val="bottom"/>
            <w:gridSpan w:val="4"/>
          </w:tcPr>
          <w:p>
            <w:pPr>
              <w:jc w:val="center"/>
              <w:ind w:right="980"/>
              <w:spacing w:after="0"/>
              <w:rPr>
                <w:sz w:val="20"/>
                <w:szCs w:val="20"/>
                <w:color w:val="auto"/>
              </w:rPr>
            </w:pPr>
            <w:r>
              <w:rPr>
                <w:rFonts w:ascii="Arial" w:cs="Arial" w:eastAsia="Arial" w:hAnsi="Arial"/>
                <w:sz w:val="18"/>
                <w:szCs w:val="18"/>
                <w:b w:val="1"/>
                <w:bCs w:val="1"/>
                <w:color w:val="auto"/>
                <w:w w:val="95"/>
              </w:rPr>
              <w:t>FLS22A</w:t>
            </w:r>
          </w:p>
        </w:tc>
        <w:tc>
          <w:tcPr>
            <w:tcW w:w="3220" w:type="dxa"/>
            <w:vAlign w:val="bottom"/>
          </w:tcPr>
          <w:p>
            <w:pPr>
              <w:jc w:val="center"/>
              <w:ind w:right="240"/>
              <w:spacing w:after="0"/>
              <w:rPr>
                <w:sz w:val="20"/>
                <w:szCs w:val="20"/>
                <w:color w:val="auto"/>
              </w:rPr>
            </w:pPr>
            <w:r>
              <w:rPr>
                <w:rFonts w:ascii="Arial" w:cs="Arial" w:eastAsia="Arial" w:hAnsi="Arial"/>
                <w:sz w:val="18"/>
                <w:szCs w:val="18"/>
                <w:b w:val="1"/>
                <w:bCs w:val="1"/>
                <w:color w:val="auto"/>
                <w:w w:val="89"/>
              </w:rPr>
              <w:t>New York Stock Exchange</w:t>
            </w:r>
          </w:p>
        </w:tc>
        <w:tc>
          <w:tcPr>
            <w:tcW w:w="0" w:type="dxa"/>
            <w:vAlign w:val="bottom"/>
          </w:tcPr>
          <w:p>
            <w:pPr>
              <w:spacing w:after="0"/>
              <w:rPr>
                <w:sz w:val="1"/>
                <w:szCs w:val="1"/>
                <w:color w:val="auto"/>
              </w:rPr>
            </w:pPr>
          </w:p>
        </w:tc>
      </w:tr>
    </w:tbl>
    <w:p>
      <w:pPr>
        <w:spacing w:after="0" w:line="202"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62"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right="140"/>
        <w:spacing w:after="0" w:line="233"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8"/>
          <w:szCs w:val="18"/>
          <w:color w:val="auto"/>
        </w:rPr>
        <w:t>☐</w:t>
      </w:r>
    </w:p>
    <w:p>
      <w:pPr>
        <w:spacing w:after="0" w:line="182"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142240</wp:posOffset>
            </wp:positionV>
            <wp:extent cx="69951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41" w:right="439" w:bottom="1440" w:gutter="0" w:footer="0" w:header="0"/>
        </w:sectPr>
      </w:pPr>
    </w:p>
    <w:bookmarkStart w:id="1" w:name="page2"/>
    <w:bookmarkEnd w:id="1"/>
    <w:p>
      <w:pPr>
        <w:ind w:right="8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5.02 Departure of Directors or Certain Officers; Election of Directors; Appointment of Certain Officers; Compensatory Arrangements of Certain Officers.</w:t>
      </w:r>
    </w:p>
    <w:p>
      <w:pPr>
        <w:spacing w:after="0" w:line="58"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color w:val="auto"/>
        </w:rPr>
        <w:t>On May 14, 2020, Flowserve Corporation, a New York corporation (the “Company”), announced that David J. Wilson tendered his resignation as President, Flowserve Pumps Division in order to accept a position as chief executive officer at a publicly traded global industrial company. Mr. Wilson will continue in his current role until his departure on May 29, 2020. R. Scott Rowe, the Company’s President and Chief Executive Officer, will then assume Mr. Wilson’s responsibilities on an interim basis, in conjunction with the General Managers of the Pumps Division, until a replacement is identified. The Company has retained an external search firm to assist in the selection of a successor. Mr. Wilson’s departure is not due to a disagreement with the Company.</w:t>
      </w:r>
    </w:p>
    <w:p>
      <w:pPr>
        <w:sectPr>
          <w:pgSz w:w="11900" w:h="16838" w:orient="portrait"/>
          <w:cols w:equalWidth="0" w:num="1">
            <w:col w:w="11000"/>
          </w:cols>
          <w:pgMar w:left="440" w:top="297" w:right="4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42545"/>
                    </a:xfrm>
                    <a:prstGeom prst="rect">
                      <a:avLst/>
                    </a:prstGeom>
                    <a:noFill/>
                  </pic:spPr>
                </pic:pic>
              </a:graphicData>
            </a:graphic>
          </wp:anchor>
        </w:drawing>
        <w:t>SIGNATURES</w:t>
      </w:r>
    </w:p>
    <w:p>
      <w:pPr>
        <w:spacing w:after="0" w:line="229" w:lineRule="exact"/>
        <w:rPr>
          <w:sz w:val="20"/>
          <w:szCs w:val="20"/>
          <w:color w:val="auto"/>
        </w:rPr>
      </w:pPr>
    </w:p>
    <w:p>
      <w:pPr>
        <w:ind w:right="320"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00" w:type="dxa"/>
            <w:vAlign w:val="bottom"/>
          </w:tcPr>
          <w:p>
            <w:pPr>
              <w:spacing w:after="0"/>
              <w:rPr>
                <w:sz w:val="20"/>
                <w:szCs w:val="20"/>
                <w:color w:val="auto"/>
              </w:rPr>
            </w:pPr>
          </w:p>
        </w:tc>
        <w:tc>
          <w:tcPr>
            <w:tcW w:w="7420" w:type="dxa"/>
            <w:vAlign w:val="bottom"/>
            <w:gridSpan w:val="2"/>
          </w:tcPr>
          <w:p>
            <w:pPr>
              <w:ind w:left="2080"/>
              <w:spacing w:after="0"/>
              <w:rPr>
                <w:sz w:val="20"/>
                <w:szCs w:val="20"/>
                <w:color w:val="auto"/>
              </w:rPr>
            </w:pPr>
            <w:r>
              <w:rPr>
                <w:rFonts w:ascii="Arial" w:cs="Arial" w:eastAsia="Arial" w:hAnsi="Arial"/>
                <w:sz w:val="18"/>
                <w:szCs w:val="18"/>
                <w:color w:val="auto"/>
              </w:rPr>
              <w:t>FLOWSERVE CORPORATION</w:t>
            </w:r>
          </w:p>
        </w:tc>
      </w:tr>
      <w:tr>
        <w:trPr>
          <w:trHeight w:val="432"/>
        </w:trPr>
        <w:tc>
          <w:tcPr>
            <w:tcW w:w="3600" w:type="dxa"/>
            <w:vAlign w:val="bottom"/>
          </w:tcPr>
          <w:p>
            <w:pPr>
              <w:spacing w:after="0"/>
              <w:rPr>
                <w:sz w:val="20"/>
                <w:szCs w:val="20"/>
                <w:color w:val="auto"/>
              </w:rPr>
            </w:pPr>
            <w:r>
              <w:rPr>
                <w:rFonts w:ascii="Arial" w:cs="Arial" w:eastAsia="Arial" w:hAnsi="Arial"/>
                <w:sz w:val="18"/>
                <w:szCs w:val="18"/>
                <w:color w:val="auto"/>
              </w:rPr>
              <w:t>Dated: May 14, 2020</w:t>
            </w:r>
          </w:p>
        </w:tc>
        <w:tc>
          <w:tcPr>
            <w:tcW w:w="7420" w:type="dxa"/>
            <w:vAlign w:val="bottom"/>
            <w:gridSpan w:val="2"/>
          </w:tcPr>
          <w:p>
            <w:pPr>
              <w:ind w:left="2080"/>
              <w:spacing w:after="0"/>
              <w:rPr>
                <w:sz w:val="20"/>
                <w:szCs w:val="20"/>
                <w:color w:val="auto"/>
              </w:rPr>
            </w:pPr>
            <w:r>
              <w:rPr>
                <w:rFonts w:ascii="Arial" w:cs="Arial" w:eastAsia="Arial" w:hAnsi="Arial"/>
                <w:sz w:val="18"/>
                <w:szCs w:val="18"/>
                <w:color w:val="auto"/>
              </w:rPr>
              <w:t>By:    /s/ L</w:t>
            </w:r>
            <w:r>
              <w:rPr>
                <w:rFonts w:ascii="Arial" w:cs="Arial" w:eastAsia="Arial" w:hAnsi="Arial"/>
                <w:sz w:val="12"/>
                <w:szCs w:val="12"/>
                <w:color w:val="auto"/>
              </w:rPr>
              <w:t>ANESHA</w:t>
            </w:r>
            <w:r>
              <w:rPr>
                <w:rFonts w:ascii="Arial" w:cs="Arial" w:eastAsia="Arial" w:hAnsi="Arial"/>
                <w:sz w:val="18"/>
                <w:szCs w:val="18"/>
                <w:color w:val="auto"/>
              </w:rPr>
              <w:t xml:space="preserve"> T. M</w:t>
            </w:r>
            <w:r>
              <w:rPr>
                <w:rFonts w:ascii="Arial" w:cs="Arial" w:eastAsia="Arial" w:hAnsi="Arial"/>
                <w:sz w:val="12"/>
                <w:szCs w:val="12"/>
                <w:color w:val="auto"/>
              </w:rPr>
              <w:t>INNIX</w:t>
            </w:r>
          </w:p>
        </w:tc>
      </w:tr>
      <w:tr>
        <w:trPr>
          <w:trHeight w:val="195"/>
        </w:trPr>
        <w:tc>
          <w:tcPr>
            <w:tcW w:w="360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4960" w:type="dxa"/>
            <w:vAlign w:val="bottom"/>
            <w:tcBorders>
              <w:top w:val="single" w:sz="8" w:color="auto"/>
            </w:tcBorders>
          </w:tcPr>
          <w:p>
            <w:pPr>
              <w:ind w:left="180"/>
              <w:spacing w:after="0" w:line="195" w:lineRule="exact"/>
              <w:rPr>
                <w:sz w:val="20"/>
                <w:szCs w:val="20"/>
                <w:color w:val="auto"/>
              </w:rPr>
            </w:pPr>
            <w:r>
              <w:rPr>
                <w:rFonts w:ascii="Arial" w:cs="Arial" w:eastAsia="Arial" w:hAnsi="Arial"/>
                <w:sz w:val="18"/>
                <w:szCs w:val="18"/>
                <w:color w:val="auto"/>
              </w:rPr>
              <w:t>Lanesha T. Minnix</w:t>
            </w:r>
          </w:p>
        </w:tc>
      </w:tr>
      <w:tr>
        <w:trPr>
          <w:trHeight w:val="216"/>
        </w:trPr>
        <w:tc>
          <w:tcPr>
            <w:tcW w:w="360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4960" w:type="dxa"/>
            <w:vAlign w:val="bottom"/>
          </w:tcPr>
          <w:p>
            <w:pPr>
              <w:ind w:left="180"/>
              <w:spacing w:after="0"/>
              <w:rPr>
                <w:sz w:val="20"/>
                <w:szCs w:val="20"/>
                <w:color w:val="auto"/>
              </w:rPr>
            </w:pPr>
            <w:r>
              <w:rPr>
                <w:rFonts w:ascii="Arial" w:cs="Arial" w:eastAsia="Arial" w:hAnsi="Arial"/>
                <w:sz w:val="18"/>
                <w:szCs w:val="18"/>
                <w:color w:val="auto"/>
              </w:rPr>
              <w:t>Senior Vice President, Chief Legal Officer</w:t>
            </w:r>
          </w:p>
        </w:tc>
      </w:tr>
      <w:tr>
        <w:trPr>
          <w:trHeight w:val="230"/>
        </w:trPr>
        <w:tc>
          <w:tcPr>
            <w:tcW w:w="360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4960" w:type="dxa"/>
            <w:vAlign w:val="bottom"/>
          </w:tcPr>
          <w:p>
            <w:pPr>
              <w:ind w:left="180"/>
              <w:spacing w:after="0"/>
              <w:rPr>
                <w:sz w:val="20"/>
                <w:szCs w:val="20"/>
                <w:color w:val="auto"/>
              </w:rPr>
            </w:pPr>
            <w:r>
              <w:rPr>
                <w:rFonts w:ascii="Arial" w:cs="Arial" w:eastAsia="Arial" w:hAnsi="Arial"/>
                <w:sz w:val="18"/>
                <w:szCs w:val="18"/>
                <w:color w:val="auto"/>
              </w:rPr>
              <w:t>and Corporate Secretary</w:t>
            </w:r>
          </w:p>
        </w:tc>
      </w:tr>
    </w:tbl>
    <w:p>
      <w:pPr>
        <w:spacing w:after="0" w:line="1" w:lineRule="exact"/>
        <w:rPr>
          <w:sz w:val="20"/>
          <w:szCs w:val="20"/>
          <w:color w:val="auto"/>
        </w:rPr>
      </w:pPr>
    </w:p>
    <w:sectPr>
      <w:pgSz w:w="11900" w:h="16838" w:orient="portrait"/>
      <w:cols w:equalWidth="0" w:num="1">
        <w:col w:w="11020"/>
      </w:cols>
      <w:pgMar w:left="440" w:top="29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2020-05-14T15:26:01Z</dcterms:created>
  <dcterms:modified xsi:type="dcterms:W3CDTF">2020-05-14T15:26:01Z</dcterms:modified>
</cp:coreProperties>
</file>