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As filed with the Securities and Exchange Commission on April 19, 2023.</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333-82081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108585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POST-EFFECTIVE</w:t>
      </w:r>
    </w:p>
    <w:p>
      <w:pPr>
        <w:spacing w:after="0" w:line="3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AMENDMENT NO. 2</w:t>
      </w:r>
    </w:p>
    <w:p>
      <w:pPr>
        <w:jc w:val="center"/>
        <w:spacing w:after="0" w:line="237" w:lineRule="auto"/>
        <w:rPr>
          <w:sz w:val="20"/>
          <w:szCs w:val="20"/>
          <w:color w:val="auto"/>
        </w:rPr>
      </w:pPr>
      <w:r>
        <w:rPr>
          <w:rFonts w:ascii="Times New Roman" w:cs="Times New Roman" w:eastAsia="Times New Roman" w:hAnsi="Times New Roman"/>
          <w:sz w:val="32"/>
          <w:szCs w:val="32"/>
          <w:b w:val="1"/>
          <w:bCs w:val="1"/>
          <w:color w:val="auto"/>
        </w:rPr>
        <w:t>TO</w:t>
      </w:r>
    </w:p>
    <w:p>
      <w:pPr>
        <w:jc w:val="center"/>
        <w:spacing w:after="0" w:line="238" w:lineRule="auto"/>
        <w:rPr>
          <w:sz w:val="20"/>
          <w:szCs w:val="20"/>
          <w:color w:val="auto"/>
        </w:rPr>
      </w:pPr>
      <w:r>
        <w:rPr>
          <w:rFonts w:ascii="Times New Roman" w:cs="Times New Roman" w:eastAsia="Times New Roman" w:hAnsi="Times New Roman"/>
          <w:sz w:val="32"/>
          <w:szCs w:val="32"/>
          <w:b w:val="1"/>
          <w:bCs w:val="1"/>
          <w:color w:val="auto"/>
        </w:rPr>
        <w:t>FORM S-8</w:t>
      </w:r>
    </w:p>
    <w:p>
      <w:pPr>
        <w:jc w:val="center"/>
        <w:spacing w:after="0" w:line="239" w:lineRule="auto"/>
        <w:rPr>
          <w:sz w:val="20"/>
          <w:szCs w:val="20"/>
          <w:color w:val="auto"/>
        </w:rPr>
      </w:pPr>
      <w:r>
        <w:rPr>
          <w:rFonts w:ascii="Times New Roman" w:cs="Times New Roman" w:eastAsia="Times New Roman" w:hAnsi="Times New Roman"/>
          <w:sz w:val="32"/>
          <w:szCs w:val="32"/>
          <w:b w:val="1"/>
          <w:bCs w:val="1"/>
          <w:color w:val="auto"/>
        </w:rPr>
        <w:t>REGISTRATION STATEMENT</w:t>
      </w:r>
    </w:p>
    <w:p>
      <w:pPr>
        <w:jc w:val="center"/>
        <w:spacing w:after="0" w:line="231" w:lineRule="auto"/>
        <w:rPr>
          <w:sz w:val="20"/>
          <w:szCs w:val="20"/>
          <w:color w:val="auto"/>
        </w:rPr>
      </w:pPr>
      <w:r>
        <w:rPr>
          <w:rFonts w:ascii="Times New Roman" w:cs="Times New Roman" w:eastAsia="Times New Roman" w:hAnsi="Times New Roman"/>
          <w:sz w:val="22"/>
          <w:szCs w:val="22"/>
          <w:b w:val="1"/>
          <w:bCs w:val="1"/>
          <w:i w:val="1"/>
          <w:iCs w:val="1"/>
          <w:color w:val="auto"/>
        </w:rPr>
        <w:t>UNDER</w:t>
      </w:r>
    </w:p>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FLOWSERVE CORPORATION</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tbl>
      <w:tblPr>
        <w:tblLayout w:type="fixed"/>
        <w:tblInd w:w="720" w:type="dxa"/>
        <w:tblCellMar>
          <w:top w:w="0" w:type="dxa"/>
          <w:left w:w="0" w:type="dxa"/>
          <w:bottom w:w="0" w:type="dxa"/>
          <w:right w:w="0" w:type="dxa"/>
        </w:tblCellMar>
      </w:tblPr>
      <w:tr>
        <w:trPr>
          <w:trHeight w:val="214"/>
        </w:trPr>
        <w:tc>
          <w:tcPr>
            <w:tcW w:w="41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NEW YORK</w:t>
            </w:r>
          </w:p>
        </w:tc>
        <w:tc>
          <w:tcPr>
            <w:tcW w:w="4560" w:type="dxa"/>
            <w:vAlign w:val="bottom"/>
          </w:tcPr>
          <w:p>
            <w:pPr>
              <w:jc w:val="right"/>
              <w:ind w:right="577"/>
              <w:spacing w:after="0"/>
              <w:rPr>
                <w:sz w:val="20"/>
                <w:szCs w:val="20"/>
                <w:color w:val="auto"/>
              </w:rPr>
            </w:pPr>
            <w:r>
              <w:rPr>
                <w:rFonts w:ascii="Times New Roman" w:cs="Times New Roman" w:eastAsia="Times New Roman" w:hAnsi="Times New Roman"/>
                <w:sz w:val="18"/>
                <w:szCs w:val="18"/>
                <w:b w:val="1"/>
                <w:bCs w:val="1"/>
                <w:color w:val="auto"/>
              </w:rPr>
              <w:t>31-0267900</w:t>
            </w:r>
          </w:p>
        </w:tc>
      </w:tr>
      <w:tr>
        <w:trPr>
          <w:trHeight w:val="148"/>
        </w:trPr>
        <w:tc>
          <w:tcPr>
            <w:tcW w:w="41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w:t>
            </w:r>
          </w:p>
        </w:tc>
        <w:tc>
          <w:tcPr>
            <w:tcW w:w="4560" w:type="dxa"/>
            <w:vAlign w:val="bottom"/>
          </w:tcPr>
          <w:p>
            <w:pPr>
              <w:jc w:val="center"/>
              <w:ind w:left="2277"/>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 Identification No.)</w:t>
            </w:r>
          </w:p>
        </w:tc>
      </w:tr>
      <w:tr>
        <w:trPr>
          <w:trHeight w:val="190"/>
        </w:trPr>
        <w:tc>
          <w:tcPr>
            <w:tcW w:w="41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of incorporation or organization)</w:t>
            </w:r>
          </w:p>
        </w:tc>
        <w:tc>
          <w:tcPr>
            <w:tcW w:w="4560" w:type="dxa"/>
            <w:vAlign w:val="bottom"/>
          </w:tcPr>
          <w:p>
            <w:pPr>
              <w:spacing w:after="0"/>
              <w:rPr>
                <w:sz w:val="16"/>
                <w:szCs w:val="16"/>
                <w:color w:val="auto"/>
              </w:rPr>
            </w:pPr>
          </w:p>
        </w:tc>
      </w:tr>
      <w:tr>
        <w:trPr>
          <w:trHeight w:val="390"/>
        </w:trPr>
        <w:tc>
          <w:tcPr>
            <w:tcW w:w="41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5215 N. O’Connor Boulevard, Suite 700 Irving, Texas</w:t>
            </w:r>
          </w:p>
        </w:tc>
        <w:tc>
          <w:tcPr>
            <w:tcW w:w="4560" w:type="dxa"/>
            <w:vAlign w:val="bottom"/>
          </w:tcPr>
          <w:p>
            <w:pPr>
              <w:jc w:val="right"/>
              <w:ind w:right="797"/>
              <w:spacing w:after="0"/>
              <w:rPr>
                <w:sz w:val="20"/>
                <w:szCs w:val="20"/>
                <w:color w:val="auto"/>
              </w:rPr>
            </w:pPr>
            <w:r>
              <w:rPr>
                <w:rFonts w:ascii="Times New Roman" w:cs="Times New Roman" w:eastAsia="Times New Roman" w:hAnsi="Times New Roman"/>
                <w:sz w:val="18"/>
                <w:szCs w:val="18"/>
                <w:b w:val="1"/>
                <w:bCs w:val="1"/>
                <w:color w:val="auto"/>
              </w:rPr>
              <w:t>75039</w:t>
            </w:r>
          </w:p>
        </w:tc>
      </w:tr>
      <w:tr>
        <w:trPr>
          <w:trHeight w:val="151"/>
        </w:trPr>
        <w:tc>
          <w:tcPr>
            <w:tcW w:w="4160" w:type="dxa"/>
            <w:vAlign w:val="bottom"/>
          </w:tcPr>
          <w:p>
            <w:pPr>
              <w:jc w:val="center"/>
              <w:spacing w:after="0" w:line="151" w:lineRule="exact"/>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4560" w:type="dxa"/>
            <w:vAlign w:val="bottom"/>
          </w:tcPr>
          <w:p>
            <w:pPr>
              <w:jc w:val="center"/>
              <w:ind w:left="2277"/>
              <w:spacing w:after="0" w:line="151" w:lineRule="exact"/>
              <w:rPr>
                <w:sz w:val="20"/>
                <w:szCs w:val="20"/>
                <w:color w:val="auto"/>
              </w:rPr>
            </w:pPr>
            <w:r>
              <w:rPr>
                <w:rFonts w:ascii="Times New Roman" w:cs="Times New Roman" w:eastAsia="Times New Roman" w:hAnsi="Times New Roman"/>
                <w:sz w:val="14"/>
                <w:szCs w:val="14"/>
                <w:b w:val="1"/>
                <w:bCs w:val="1"/>
                <w:color w:val="auto"/>
              </w:rPr>
              <w:t>(Zip Code)</w:t>
            </w:r>
          </w:p>
        </w:tc>
      </w:tr>
      <w:tr>
        <w:trPr>
          <w:trHeight w:val="232"/>
        </w:trPr>
        <w:tc>
          <w:tcPr>
            <w:tcW w:w="4160" w:type="dxa"/>
            <w:vAlign w:val="bottom"/>
          </w:tcPr>
          <w:p>
            <w:pPr>
              <w:spacing w:after="0"/>
              <w:rPr>
                <w:sz w:val="20"/>
                <w:szCs w:val="20"/>
                <w:color w:val="auto"/>
              </w:rPr>
            </w:pPr>
          </w:p>
        </w:tc>
        <w:tc>
          <w:tcPr>
            <w:tcW w:w="4560" w:type="dxa"/>
            <w:vAlign w:val="bottom"/>
          </w:tcPr>
          <w:p>
            <w:pPr>
              <w:jc w:val="right"/>
              <w:ind w:right="3297"/>
              <w:spacing w:after="0"/>
              <w:rPr>
                <w:sz w:val="20"/>
                <w:szCs w:val="20"/>
                <w:color w:val="auto"/>
              </w:rPr>
            </w:pPr>
            <w:r>
              <w:rPr>
                <w:rFonts w:ascii="Times New Roman" w:cs="Times New Roman" w:eastAsia="Times New Roman" w:hAnsi="Times New Roman"/>
                <w:sz w:val="18"/>
                <w:szCs w:val="18"/>
                <w:b w:val="1"/>
                <w:bCs w:val="1"/>
                <w:color w:val="auto"/>
              </w:rPr>
              <w:t>(972) 443-6500</w:t>
            </w:r>
          </w:p>
        </w:tc>
      </w:tr>
    </w:tbl>
    <w:p>
      <w:pPr>
        <w:jc w:val="center"/>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1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Flowserve Corporation Retirement Savings Plan</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(Full title of the plans)</w:t>
      </w:r>
    </w:p>
    <w:p>
      <w:pPr>
        <w:spacing w:after="0" w:line="1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Susan C. Hudson</w:t>
      </w:r>
    </w:p>
    <w:p>
      <w:pPr>
        <w:spacing w:after="0" w:line="3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Senior Vice President, Chief Legal Officer and Corporate Secretary</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5215 N. O’Connor Boulevard, Suite 700</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Irving, Texas 75039</w:t>
      </w: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(Name and address of agent for service)</w:t>
      </w:r>
    </w:p>
    <w:p>
      <w:pPr>
        <w:spacing w:after="0" w:line="1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(972) 443-6500</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(Telephone number, including area code, of agent for service)</w:t>
      </w:r>
    </w:p>
    <w:p>
      <w:pPr>
        <w:spacing w:after="0" w:line="1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with a copy to:</w:t>
      </w:r>
    </w:p>
    <w:p>
      <w:pPr>
        <w:spacing w:after="0" w:line="11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Krista Hanvey</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Gibson, Dunn &amp; Crutcher LLP</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2001 Ross Avenue, Suite 2100</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Dallas, Texas 75201</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(214) 698-3100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237490</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65" w:lineRule="exact"/>
        <w:rPr>
          <w:sz w:val="24"/>
          <w:szCs w:val="24"/>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7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4"/>
          <w:szCs w:val="24"/>
          <w:color w:val="auto"/>
        </w:rPr>
      </w:pPr>
    </w:p>
    <w:p>
      <w:pPr>
        <w:ind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133985</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0"/>
          </w:cols>
          <w:pgMar w:left="440" w:top="225" w:right="439" w:bottom="833"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EXPLANATORY NOTE TO POST-EFFECTIVE AMENDMENT NO. 2</w:t>
      </w:r>
    </w:p>
    <w:p>
      <w:pPr>
        <w:spacing w:after="0" w:line="229" w:lineRule="exact"/>
        <w:rPr>
          <w:sz w:val="20"/>
          <w:szCs w:val="20"/>
          <w:color w:val="auto"/>
        </w:rPr>
      </w:pPr>
    </w:p>
    <w:p>
      <w:pPr>
        <w:ind w:right="20" w:firstLine="440"/>
        <w:spacing w:after="0" w:line="256" w:lineRule="auto"/>
        <w:rPr>
          <w:sz w:val="20"/>
          <w:szCs w:val="20"/>
          <w:color w:val="auto"/>
        </w:rPr>
      </w:pPr>
      <w:r>
        <w:rPr>
          <w:rFonts w:ascii="Times New Roman" w:cs="Times New Roman" w:eastAsia="Times New Roman" w:hAnsi="Times New Roman"/>
          <w:sz w:val="18"/>
          <w:szCs w:val="18"/>
          <w:color w:val="auto"/>
        </w:rPr>
        <w:t>This Post-Effective Amendment No. 2 (this “Post-Effective Amendment”) is filed by Flowserve Corporation (the “Registrant”), and the Flowserve Corporation Retirement Savings Plan (the “Plan”), to deregister the Registrant’s shares of common stock, $1.25 par value per share (the “Common Stock”), as well as other Plan interests, remaining unsold or otherwise unissued under the Plan. This Post-Effective Amendment relates to the Registrant’s registration statement on Form S-8 (Registration No. 333-82081) filed with the Securities and Exchange Commission (the “Commission”) on July 1, 1999 (the “Registration Statement”) and the Post-Effective Amendment No. 1 to the Registration Statement filed with the Commission on June 24, 2013 (the “Post-Effective Amendment No. 1”) to register shares of Common Stock and Plan interests.</w:t>
      </w:r>
    </w:p>
    <w:p>
      <w:pPr>
        <w:spacing w:after="0" w:line="187" w:lineRule="exact"/>
        <w:rPr>
          <w:sz w:val="20"/>
          <w:szCs w:val="20"/>
          <w:color w:val="auto"/>
        </w:rPr>
      </w:pPr>
    </w:p>
    <w:p>
      <w:pPr>
        <w:ind w:firstLine="440"/>
        <w:spacing w:after="0" w:line="289" w:lineRule="auto"/>
        <w:rPr>
          <w:sz w:val="20"/>
          <w:szCs w:val="20"/>
          <w:color w:val="auto"/>
        </w:rPr>
      </w:pPr>
      <w:r>
        <w:rPr>
          <w:rFonts w:ascii="Times New Roman" w:cs="Times New Roman" w:eastAsia="Times New Roman" w:hAnsi="Times New Roman"/>
          <w:sz w:val="17"/>
          <w:szCs w:val="17"/>
          <w:color w:val="auto"/>
        </w:rPr>
        <w:t>The offerings pursuant to the Registration Statement and the Post-Effective No. 1 have been terminated. The Registrant hereby terminates the effectiveness of the Registration Statement and Post-Effective Amendment No. 1 and hereby deregisters all shares of Common Stock and all related Plan interests registered pursuant to the Registration Statement and Post-Effective Amendment No. 1 that remain unsold or unoffered as of the date hereof.</w:t>
      </w:r>
    </w:p>
    <w:p>
      <w:pPr>
        <w:sectPr>
          <w:pgSz w:w="11900" w:h="16838" w:orient="portrait"/>
          <w:cols w:equalWidth="0" w:num="1">
            <w:col w:w="11020"/>
          </w:cols>
          <w:pgMar w:left="440" w:top="266" w:right="439" w:bottom="1440" w:gutter="0" w:footer="0" w:header="0"/>
        </w:sectPr>
      </w:pPr>
    </w:p>
    <w:bookmarkStart w:id="2" w:name="page3"/>
    <w:bookmarkEnd w:id="2"/>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ind w:right="280" w:firstLine="440"/>
        <w:spacing w:after="0" w:line="277"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the Registrant certifies that it has reasonable grounds to believe that it meets all of the requirements for filing on Form S-8 and has duly caused this Post-Effective Amendment No. 2 to the Registration Statement to be signed on its behalf by the undersigned, thereunto duly authorized, in the City of Irving, State of Texas, on this 19</w:t>
      </w:r>
      <w:r>
        <w:rPr>
          <w:rFonts w:ascii="Times New Roman" w:cs="Times New Roman" w:eastAsia="Times New Roman" w:hAnsi="Times New Roman"/>
          <w:sz w:val="26"/>
          <w:szCs w:val="26"/>
          <w:color w:val="auto"/>
          <w:vertAlign w:val="superscript"/>
        </w:rPr>
        <w:t>th</w:t>
      </w:r>
      <w:r>
        <w:rPr>
          <w:rFonts w:ascii="Times New Roman" w:cs="Times New Roman" w:eastAsia="Times New Roman" w:hAnsi="Times New Roman"/>
          <w:sz w:val="18"/>
          <w:szCs w:val="18"/>
          <w:color w:val="auto"/>
        </w:rPr>
        <w:t xml:space="preserve"> day of April, 2023.</w:t>
      </w:r>
    </w:p>
    <w:p>
      <w:pPr>
        <w:spacing w:after="0" w:line="68"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FLOWSERVE CORPORATION</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Susan C. Hudson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4394835</wp:posOffset>
            </wp:positionH>
            <wp:positionV relativeFrom="paragraph">
              <wp:posOffset>17145</wp:posOffset>
            </wp:positionV>
            <wp:extent cx="259715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Susan C. Hudson</w:t>
      </w:r>
    </w:p>
    <w:p>
      <w:pPr>
        <w:spacing w:after="0" w:line="23"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Senior Vice President and Chief Legal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 other person is required to sign this Post-Effective Amendment in reliance upon Rule 478 under the Securities Act of 1933, as amended.</w:t>
      </w:r>
    </w:p>
    <w:p>
      <w:pPr>
        <w:spacing w:after="0" w:line="221" w:lineRule="exact"/>
        <w:rPr>
          <w:sz w:val="20"/>
          <w:szCs w:val="20"/>
          <w:color w:val="auto"/>
        </w:rPr>
      </w:pPr>
    </w:p>
    <w:p>
      <w:pPr>
        <w:ind w:firstLine="440"/>
        <w:spacing w:after="0" w:line="225" w:lineRule="auto"/>
        <w:rPr>
          <w:sz w:val="20"/>
          <w:szCs w:val="20"/>
          <w:color w:val="auto"/>
        </w:rPr>
      </w:pPr>
      <w:r>
        <w:rPr>
          <w:rFonts w:ascii="Times New Roman" w:cs="Times New Roman" w:eastAsia="Times New Roman" w:hAnsi="Times New Roman"/>
          <w:sz w:val="18"/>
          <w:szCs w:val="18"/>
          <w:b w:val="1"/>
          <w:bCs w:val="1"/>
          <w:i w:val="1"/>
          <w:iCs w:val="1"/>
          <w:color w:val="auto"/>
        </w:rPr>
        <w:t>The Plan</w:t>
      </w:r>
      <w:r>
        <w:rPr>
          <w:rFonts w:ascii="Times New Roman" w:cs="Times New Roman" w:eastAsia="Times New Roman" w:hAnsi="Times New Roman"/>
          <w:sz w:val="18"/>
          <w:szCs w:val="18"/>
          <w:color w:val="auto"/>
        </w:rPr>
        <w:t>. Pursuant to the requirements of the Securities Act of 1933, as amended, the Plan has duly caused this Post-Effective Amendment No. 2</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to the Registration Statement to be signed on its behalf by the undersigned, thereunto duly authorized, in the City of Irving, State of Texas, on this 19</w:t>
      </w:r>
      <w:r>
        <w:rPr>
          <w:rFonts w:ascii="Times New Roman" w:cs="Times New Roman" w:eastAsia="Times New Roman" w:hAnsi="Times New Roman"/>
          <w:sz w:val="26"/>
          <w:szCs w:val="26"/>
          <w:color w:val="auto"/>
          <w:vertAlign w:val="superscript"/>
        </w:rPr>
        <w:t>th</w:t>
      </w:r>
      <w:r>
        <w:rPr>
          <w:rFonts w:ascii="Times New Roman" w:cs="Times New Roman" w:eastAsia="Times New Roman" w:hAnsi="Times New Roman"/>
          <w:sz w:val="18"/>
          <w:szCs w:val="18"/>
          <w:color w:val="auto"/>
        </w:rPr>
        <w:t xml:space="preserve"> day of April, 2023.</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PENSION AND INVESTMENT COMMITTEE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FLOWSERVE CORPORATION RETIREMENT SAVINGS PLAN</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John E. Roueche,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17145</wp:posOffset>
            </wp:positionV>
            <wp:extent cx="259715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Name: John E. Roueche, III</w:t>
      </w:r>
    </w:p>
    <w:p>
      <w:pPr>
        <w:spacing w:after="0" w:line="2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Pension and Investment Committee Chairman</w:t>
      </w:r>
    </w:p>
    <w:sectPr>
      <w:pgSz w:w="11900" w:h="16838" w:orient="portrait"/>
      <w:cols w:equalWidth="0" w:num="1">
        <w:col w:w="10940"/>
      </w:cols>
      <w:pgMar w:left="440" w:top="266" w:right="5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2023-04-19T16:02:39Z</dcterms:created>
  <dcterms:modified xsi:type="dcterms:W3CDTF">2023-04-19T16:02:39Z</dcterms:modified>
</cp:coreProperties>
</file>