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3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23, 2022</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3"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360"/>
        <w:spacing w:after="0"/>
        <w:rPr>
          <w:sz w:val="20"/>
          <w:szCs w:val="20"/>
          <w:color w:val="auto"/>
        </w:rPr>
      </w:pPr>
      <w:r>
        <w:rPr>
          <w:rFonts w:ascii="Arial" w:cs="Arial" w:eastAsia="Arial" w:hAnsi="Arial"/>
          <w:sz w:val="18"/>
          <w:szCs w:val="18"/>
          <w:b w:val="1"/>
          <w:bCs w:val="1"/>
          <w:color w:val="auto"/>
        </w:rPr>
        <w:t>001-13179</w:t>
      </w:r>
    </w:p>
    <w:p>
      <w:pPr>
        <w:spacing w:after="0" w:line="27" w:lineRule="exact"/>
        <w:rPr>
          <w:sz w:val="24"/>
          <w:szCs w:val="24"/>
          <w:color w:val="auto"/>
        </w:rPr>
      </w:pPr>
    </w:p>
    <w:p>
      <w:pPr>
        <w:jc w:val="center"/>
        <w:ind w:right="13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31-0267900</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3900" w:space="720"/>
            <w:col w:w="3360" w:space="720"/>
            <w:col w:w="2540"/>
          </w:cols>
          <w:pgMar w:left="320" w:top="593" w:right="339" w:bottom="1440" w:gutter="0" w:footer="0" w:header="0"/>
          <w:type w:val="continuous"/>
        </w:sectPr>
      </w:pPr>
    </w:p>
    <w:p>
      <w:pPr>
        <w:spacing w:after="0" w:line="34" w:lineRule="exact"/>
        <w:rPr>
          <w:sz w:val="24"/>
          <w:szCs w:val="24"/>
          <w:color w:val="auto"/>
        </w:rPr>
      </w:pPr>
    </w:p>
    <w:p>
      <w:pPr>
        <w:ind w:left="940"/>
        <w:spacing w:after="0"/>
        <w:rPr>
          <w:sz w:val="20"/>
          <w:szCs w:val="20"/>
          <w:color w:val="auto"/>
        </w:rPr>
      </w:pPr>
      <w:r>
        <w:rPr>
          <w:rFonts w:ascii="Arial" w:cs="Arial" w:eastAsia="Arial" w:hAnsi="Arial"/>
          <w:sz w:val="16"/>
          <w:szCs w:val="16"/>
          <w:b w:val="1"/>
          <w:bCs w:val="1"/>
          <w:color w:val="auto"/>
        </w:rPr>
        <w:t>5215 N. O’Connor Blvd., Suite 700, Irving, Texas</w:t>
      </w:r>
    </w:p>
    <w:p>
      <w:pPr>
        <w:spacing w:after="0" w:line="50"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75039</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320" w:space="720"/>
            <w:col w:w="3200"/>
          </w:cols>
          <w:pgMar w:left="320" w:top="593" w:right="339" w:bottom="1440" w:gutter="0" w:footer="0" w:header="0"/>
          <w:type w:val="continuous"/>
        </w:sectPr>
      </w:pP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(972) 443-6500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6"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28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1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$1.25 Par Value</w:t>
            </w:r>
          </w:p>
        </w:tc>
        <w:tc>
          <w:tcPr>
            <w:tcW w:w="28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FLS</w:t>
            </w:r>
          </w:p>
        </w:tc>
        <w:tc>
          <w:tcPr>
            <w:tcW w:w="41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102"/>
        </w:trPr>
        <w:tc>
          <w:tcPr>
            <w:tcW w:w="4240" w:type="dxa"/>
            <w:vAlign w:val="bottom"/>
            <w:tcBorders>
              <w:bottom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180" w:type="dxa"/>
            <w:vAlign w:val="bottom"/>
            <w:tcBorders>
              <w:bottom w:val="single" w:sz="8" w:color="auto"/>
            </w:tcBorders>
          </w:tcPr>
          <w:p>
            <w:pPr>
              <w:spacing w:after="0"/>
              <w:rPr>
                <w:sz w:val="8"/>
                <w:szCs w:val="8"/>
                <w:color w:val="auto"/>
              </w:rPr>
            </w:pPr>
          </w:p>
        </w:tc>
      </w:tr>
    </w:tbl>
    <w:p>
      <w:pPr>
        <w:spacing w:after="0" w:line="296" w:lineRule="exact"/>
        <w:rPr>
          <w:sz w:val="24"/>
          <w:szCs w:val="24"/>
          <w:color w:val="auto"/>
        </w:rPr>
      </w:pPr>
    </w:p>
    <w:p>
      <w:pPr>
        <w:ind w:right="680"/>
        <w:spacing w:after="0" w:line="2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ind w:right="140"/>
        <w:spacing w:after="0" w:line="224"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56"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On February 23, 2022, Flowserve Corporation, a New York corporation (the “Company”), issued a press release announcing financial results for the fourth quarter and full year ended December 31, 2021. A copy of this press release is attached as Exhibit 99.1 and incorporated herein by reference.</w:t>
      </w:r>
    </w:p>
    <w:p>
      <w:pPr>
        <w:spacing w:after="0" w:line="15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February 24, 2022, the Company will make a presentation about its financial and operating results for the fourth quarter of 2021, as noted in the press release described in Item 2.02 above. The Company has posted the presentation on its website at http://www.flowserve.com under the “Investors” section.</w:t>
      </w:r>
    </w:p>
    <w:p>
      <w:pPr>
        <w:spacing w:after="0" w:line="21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7.01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56" w:lineRule="exact"/>
        <w:rPr>
          <w:sz w:val="20"/>
          <w:szCs w:val="20"/>
          <w:color w:val="auto"/>
        </w:rPr>
      </w:pPr>
    </w:p>
    <w:p>
      <w:pPr>
        <w:ind w:left="580" w:hanging="572"/>
        <w:spacing w:after="0"/>
        <w:tabs>
          <w:tab w:leader="none" w:pos="5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00" w:type="dxa"/>
            <w:vAlign w:val="bottom"/>
            <w:gridSpan w:val="2"/>
          </w:tcPr>
          <w:p>
            <w:pPr>
              <w:spacing w:after="0"/>
              <w:rPr>
                <w:sz w:val="20"/>
                <w:szCs w:val="20"/>
                <w:color w:val="auto"/>
              </w:rPr>
            </w:pPr>
            <w:r>
              <w:rPr>
                <w:rFonts w:ascii="Arial" w:cs="Arial" w:eastAsia="Arial" w:hAnsi="Arial"/>
                <w:sz w:val="18"/>
                <w:szCs w:val="18"/>
                <w:b w:val="1"/>
                <w:bCs w:val="1"/>
                <w:color w:val="auto"/>
              </w:rPr>
              <w:t>Exhibit</w:t>
            </w:r>
          </w:p>
        </w:tc>
        <w:tc>
          <w:tcPr>
            <w:tcW w:w="12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7440" w:type="dxa"/>
            <w:vAlign w:val="bottom"/>
            <w:vMerge w:val="restart"/>
          </w:tcPr>
          <w:p>
            <w:pPr>
              <w:ind w:left="1840"/>
              <w:spacing w:after="0"/>
              <w:rPr>
                <w:sz w:val="20"/>
                <w:szCs w:val="20"/>
                <w:color w:val="auto"/>
              </w:rPr>
            </w:pPr>
            <w:r>
              <w:rPr>
                <w:rFonts w:ascii="Arial" w:cs="Arial" w:eastAsia="Arial" w:hAnsi="Arial"/>
                <w:sz w:val="18"/>
                <w:szCs w:val="18"/>
                <w:b w:val="1"/>
                <w:bCs w:val="1"/>
                <w:color w:val="auto"/>
              </w:rPr>
              <w:t>Description</w:t>
            </w:r>
          </w:p>
        </w:tc>
        <w:tc>
          <w:tcPr>
            <w:tcW w:w="0" w:type="dxa"/>
            <w:vAlign w:val="bottom"/>
          </w:tcPr>
          <w:p>
            <w:pPr>
              <w:spacing w:after="0"/>
              <w:rPr>
                <w:sz w:val="1"/>
                <w:szCs w:val="1"/>
                <w:color w:val="auto"/>
              </w:rPr>
            </w:pPr>
          </w:p>
        </w:tc>
      </w:tr>
      <w:tr>
        <w:trPr>
          <w:trHeight w:val="126"/>
        </w:trPr>
        <w:tc>
          <w:tcPr>
            <w:tcW w:w="8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w:t>
            </w:r>
          </w:p>
        </w:tc>
        <w:tc>
          <w:tcPr>
            <w:tcW w:w="120" w:type="dxa"/>
            <w:vAlign w:val="bottom"/>
          </w:tcPr>
          <w:p>
            <w:pPr>
              <w:spacing w:after="0"/>
              <w:rPr>
                <w:sz w:val="10"/>
                <w:szCs w:val="10"/>
                <w:color w:val="auto"/>
              </w:rPr>
            </w:pPr>
          </w:p>
        </w:tc>
        <w:tc>
          <w:tcPr>
            <w:tcW w:w="2880" w:type="dxa"/>
            <w:vAlign w:val="bottom"/>
          </w:tcPr>
          <w:p>
            <w:pPr>
              <w:spacing w:after="0"/>
              <w:rPr>
                <w:sz w:val="10"/>
                <w:szCs w:val="10"/>
                <w:color w:val="auto"/>
              </w:rPr>
            </w:pPr>
          </w:p>
        </w:tc>
        <w:tc>
          <w:tcPr>
            <w:tcW w:w="7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800" w:type="dxa"/>
            <w:vAlign w:val="bottom"/>
            <w:tcBorders>
              <w:bottom w:val="single" w:sz="8" w:color="auto"/>
            </w:tcBorders>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2880" w:type="dxa"/>
            <w:vAlign w:val="bottom"/>
            <w:tcBorders>
              <w:bottom w:val="single" w:sz="8" w:color="auto"/>
            </w:tcBorders>
          </w:tcPr>
          <w:p>
            <w:pPr>
              <w:spacing w:after="0"/>
              <w:rPr>
                <w:sz w:val="10"/>
                <w:szCs w:val="10"/>
                <w:color w:val="auto"/>
              </w:rPr>
            </w:pPr>
          </w:p>
        </w:tc>
        <w:tc>
          <w:tcPr>
            <w:tcW w:w="74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2"/>
        </w:trPr>
        <w:tc>
          <w:tcPr>
            <w:tcW w:w="8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0440" w:type="dxa"/>
            <w:vAlign w:val="bottom"/>
            <w:gridSpan w:val="3"/>
          </w:tcPr>
          <w:p>
            <w:pPr>
              <w:ind w:left="120"/>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February 23, 2022.</w:t>
              </w:r>
            </w:hyperlink>
          </w:p>
        </w:tc>
        <w:tc>
          <w:tcPr>
            <w:tcW w:w="0" w:type="dxa"/>
            <w:vAlign w:val="bottom"/>
          </w:tcPr>
          <w:p>
            <w:pPr>
              <w:spacing w:after="0"/>
              <w:rPr>
                <w:sz w:val="1"/>
                <w:szCs w:val="1"/>
                <w:color w:val="auto"/>
              </w:rPr>
            </w:pPr>
          </w:p>
        </w:tc>
      </w:tr>
      <w:tr>
        <w:trPr>
          <w:trHeight w:val="203"/>
        </w:trPr>
        <w:tc>
          <w:tcPr>
            <w:tcW w:w="320" w:type="dxa"/>
            <w:vAlign w:val="bottom"/>
            <w:tcBorders>
              <w:top w:val="single" w:sz="8" w:color="0000EE"/>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80" w:type="dxa"/>
            <w:vAlign w:val="bottom"/>
            <w:tcBorders>
              <w:top w:val="single" w:sz="8" w:color="0000EE"/>
              <w:bottom w:val="single" w:sz="8" w:color="auto"/>
            </w:tcBorders>
          </w:tcPr>
          <w:p>
            <w:pPr>
              <w:spacing w:after="0"/>
              <w:rPr>
                <w:sz w:val="17"/>
                <w:szCs w:val="17"/>
                <w:color w:val="auto"/>
              </w:rPr>
            </w:pPr>
          </w:p>
        </w:tc>
        <w:tc>
          <w:tcPr>
            <w:tcW w:w="74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5280" w:val="left"/>
          <w:tab w:leader="none" w:pos="5740" w:val="left"/>
        </w:tabs>
        <w:rPr>
          <w:sz w:val="20"/>
          <w:szCs w:val="20"/>
          <w:color w:val="auto"/>
        </w:rPr>
      </w:pPr>
      <w:r>
        <w:rPr>
          <w:rFonts w:ascii="Arial" w:cs="Arial" w:eastAsia="Arial" w:hAnsi="Arial"/>
          <w:sz w:val="18"/>
          <w:szCs w:val="18"/>
          <w:color w:val="auto"/>
        </w:rPr>
        <w:t>Dated: February 23,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w:t>
      </w:r>
      <w:r>
        <w:rPr>
          <w:rFonts w:ascii="Arial" w:cs="Arial" w:eastAsia="Arial" w:hAnsi="Arial"/>
          <w:sz w:val="11"/>
          <w:szCs w:val="11"/>
          <w:color w:val="auto"/>
        </w:rPr>
        <w:t>S</w:t>
      </w:r>
      <w:r>
        <w:rPr>
          <w:rFonts w:ascii="Arial" w:cs="Arial" w:eastAsia="Arial" w:hAnsi="Arial"/>
          <w:sz w:val="17"/>
          <w:szCs w:val="17"/>
          <w:color w:val="auto"/>
        </w:rPr>
        <w:t>/ A</w:t>
      </w:r>
      <w:r>
        <w:rPr>
          <w:rFonts w:ascii="Arial" w:cs="Arial" w:eastAsia="Arial" w:hAnsi="Arial"/>
          <w:sz w:val="11"/>
          <w:szCs w:val="11"/>
          <w:color w:val="auto"/>
        </w:rPr>
        <w:t>MY</w:t>
      </w:r>
      <w:r>
        <w:rPr>
          <w:rFonts w:ascii="Arial" w:cs="Arial" w:eastAsia="Arial" w:hAnsi="Arial"/>
          <w:sz w:val="17"/>
          <w:szCs w:val="17"/>
          <w:color w:val="auto"/>
        </w:rPr>
        <w:t xml:space="preserve"> B. S</w:t>
      </w:r>
      <w:r>
        <w:rPr>
          <w:rFonts w:ascii="Arial" w:cs="Arial" w:eastAsia="Arial" w:hAnsi="Arial"/>
          <w:sz w:val="11"/>
          <w:szCs w:val="11"/>
          <w:color w:val="auto"/>
        </w:rPr>
        <w:t>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16"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Amy B. Schwetz</w:t>
      </w:r>
    </w:p>
    <w:p>
      <w:pPr>
        <w:spacing w:after="0" w:line="23"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spacing w:after="0" w:line="282" w:lineRule="auto"/>
        <w:rPr>
          <w:sz w:val="20"/>
          <w:szCs w:val="20"/>
          <w:color w:val="auto"/>
        </w:rPr>
      </w:pPr>
      <w:r>
        <w:rPr>
          <w:rFonts w:ascii="Arial" w:cs="Arial" w:eastAsia="Arial" w:hAnsi="Arial"/>
          <w:sz w:val="25"/>
          <w:szCs w:val="25"/>
          <w:b w:val="1"/>
          <w:bCs w:val="1"/>
          <w:color w:val="auto"/>
        </w:rPr>
        <w:t>Flowserve Corporation Reports Fourth Quarter and Full Year 2021 Results; Issues 2022 Financial Guidance</w:t>
      </w:r>
    </w:p>
    <w:p>
      <w:pPr>
        <w:spacing w:after="0" w:line="130" w:lineRule="exact"/>
        <w:rPr>
          <w:sz w:val="20"/>
          <w:szCs w:val="20"/>
          <w:color w:val="auto"/>
        </w:rPr>
      </w:pPr>
    </w:p>
    <w:p>
      <w:pPr>
        <w:ind w:left="540" w:right="1260"/>
        <w:spacing w:after="0" w:line="253" w:lineRule="auto"/>
        <w:rPr>
          <w:sz w:val="20"/>
          <w:szCs w:val="20"/>
          <w:color w:val="auto"/>
        </w:rPr>
      </w:pPr>
      <w:r>
        <w:rPr>
          <w:rFonts w:ascii="Arial" w:cs="Arial" w:eastAsia="Arial" w:hAnsi="Arial"/>
          <w:sz w:val="21"/>
          <w:szCs w:val="21"/>
          <w:b w:val="1"/>
          <w:bCs w:val="1"/>
          <w:color w:val="auto"/>
        </w:rPr>
        <w:t>Reported and Adjusted fourth quarter Earnings Per Share (EPS) of 13 cents and 45 cents, respectively Full year 2021 Reported and Adjusted EPS of 96 cents and $1.38,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-257810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360"/>
        <w:spacing w:after="0" w:line="230" w:lineRule="auto"/>
        <w:rPr>
          <w:sz w:val="20"/>
          <w:szCs w:val="20"/>
          <w:color w:val="auto"/>
        </w:rPr>
      </w:pPr>
      <w:r>
        <w:rPr>
          <w:rFonts w:ascii="Arial" w:cs="Arial" w:eastAsia="Arial" w:hAnsi="Arial"/>
          <w:sz w:val="22"/>
          <w:szCs w:val="22"/>
          <w:b w:val="1"/>
          <w:bCs w:val="1"/>
          <w:color w:val="auto"/>
        </w:rPr>
        <w:t>Fourth quarter bookings increased 17.5% year-over-year to $969 million, driving full year 2021 bookings to $3.8 billion, up 10.6% year-over-year, on 1.07x book-to-bill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-257810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420"/>
        <w:spacing w:after="0" w:line="230" w:lineRule="auto"/>
        <w:rPr>
          <w:sz w:val="20"/>
          <w:szCs w:val="20"/>
          <w:color w:val="auto"/>
        </w:rPr>
      </w:pPr>
      <w:r>
        <w:rPr>
          <w:rFonts w:ascii="Arial" w:cs="Arial" w:eastAsia="Arial" w:hAnsi="Arial"/>
          <w:sz w:val="22"/>
          <w:szCs w:val="22"/>
          <w:b w:val="1"/>
          <w:bCs w:val="1"/>
          <w:color w:val="auto"/>
        </w:rPr>
        <w:t>Year-end backlog of $2.0 billion was up 8.0% versus prior year, setting the foundation for expected revenue and EPS growth in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-257810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160"/>
        <w:spacing w:after="0" w:line="230" w:lineRule="auto"/>
        <w:rPr>
          <w:sz w:val="20"/>
          <w:szCs w:val="20"/>
          <w:color w:val="auto"/>
        </w:rPr>
      </w:pPr>
      <w:r>
        <w:rPr>
          <w:rFonts w:ascii="Arial" w:cs="Arial" w:eastAsia="Arial" w:hAnsi="Arial"/>
          <w:sz w:val="22"/>
          <w:szCs w:val="22"/>
          <w:b w:val="1"/>
          <w:bCs w:val="1"/>
          <w:color w:val="auto"/>
        </w:rPr>
        <w:t>Full year 2021 free cash flow conversion of 108% of adjusted earnings, marking the second consecutive year above 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-257810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rPr>
          <w:sz w:val="20"/>
          <w:szCs w:val="20"/>
          <w:color w:val="auto"/>
        </w:rPr>
      </w:pPr>
      <w:r>
        <w:rPr>
          <w:rFonts w:ascii="Arial" w:cs="Arial" w:eastAsia="Arial" w:hAnsi="Arial"/>
          <w:sz w:val="22"/>
          <w:szCs w:val="22"/>
          <w:b w:val="1"/>
          <w:bCs w:val="1"/>
          <w:color w:val="auto"/>
        </w:rPr>
        <w:t>Launching the Diversify, Decarbonize and Digitize growth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-110490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8" w:lineRule="exact"/>
        <w:rPr>
          <w:sz w:val="20"/>
          <w:szCs w:val="20"/>
          <w:color w:val="auto"/>
        </w:rPr>
      </w:pPr>
    </w:p>
    <w:p>
      <w:pPr>
        <w:jc w:val="both"/>
        <w:ind w:right="320"/>
        <w:spacing w:after="0"/>
        <w:rPr>
          <w:sz w:val="20"/>
          <w:szCs w:val="20"/>
          <w:color w:val="auto"/>
        </w:rPr>
      </w:pPr>
      <w:r>
        <w:rPr>
          <w:rFonts w:ascii="Arial" w:cs="Arial" w:eastAsia="Arial" w:hAnsi="Arial"/>
          <w:sz w:val="22"/>
          <w:szCs w:val="22"/>
          <w:color w:val="auto"/>
        </w:rPr>
        <w:t>DALLAS--(BUSINESS WIRE)--February 23, 2022--Flowserve Corporation (NYSE: FLS), a leading provider of flow control products and services for the global infrastructure markets, today announced its financial results for the fourth quarter and full year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132080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u w:val="single" w:color="auto"/>
          <w:color w:val="auto"/>
        </w:rPr>
        <w:t>Fourth Quarter 2021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2020 fourth quarter, unless otherwise noted)</w:t>
      </w:r>
    </w:p>
    <w:p>
      <w:pPr>
        <w:spacing w:after="0" w:line="7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of $0.13 and Adjusted EPS</w:t>
      </w:r>
      <w:r>
        <w:rPr>
          <w:rFonts w:ascii="Arial" w:cs="Arial" w:eastAsia="Arial" w:hAnsi="Arial"/>
          <w:sz w:val="35"/>
          <w:szCs w:val="35"/>
          <w:color w:val="auto"/>
          <w:vertAlign w:val="superscript"/>
        </w:rPr>
        <w:t>1</w:t>
      </w:r>
      <w:r>
        <w:rPr>
          <w:rFonts w:ascii="Arial" w:cs="Arial" w:eastAsia="Arial" w:hAnsi="Arial"/>
          <w:sz w:val="22"/>
          <w:szCs w:val="22"/>
          <w:color w:val="auto"/>
        </w:rPr>
        <w:t xml:space="preserve"> of $0.45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1080" w:right="80"/>
        <w:spacing w:after="0" w:line="230" w:lineRule="auto"/>
        <w:rPr>
          <w:sz w:val="20"/>
          <w:szCs w:val="20"/>
          <w:color w:val="auto"/>
        </w:rPr>
      </w:pPr>
      <w:r>
        <w:rPr>
          <w:rFonts w:ascii="Arial" w:cs="Arial" w:eastAsia="Arial" w:hAnsi="Arial"/>
          <w:sz w:val="22"/>
          <w:szCs w:val="22"/>
          <w:color w:val="auto"/>
        </w:rPr>
        <w:t>Reported EPS includes a net after-tax adjusted loss of $42.2 million, comprised primarily of early extinguishment of debt costs, below-the-line foreign exchange impacts and realignment expenses partially offset by certain discrete tax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-411480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2" w:lineRule="auto"/>
        <w:rPr>
          <w:sz w:val="20"/>
          <w:szCs w:val="20"/>
          <w:color w:val="auto"/>
        </w:rPr>
      </w:pPr>
      <w:r>
        <w:rPr>
          <w:rFonts w:ascii="Arial" w:cs="Arial" w:eastAsia="Arial" w:hAnsi="Arial"/>
          <w:sz w:val="22"/>
          <w:szCs w:val="22"/>
          <w:color w:val="auto"/>
        </w:rPr>
        <w:t>Total bookings were $969.1 million, up 17.5%, or 18.9%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540"/>
        <w:spacing w:after="0" w:line="230" w:lineRule="auto"/>
        <w:rPr>
          <w:sz w:val="20"/>
          <w:szCs w:val="20"/>
          <w:color w:val="auto"/>
        </w:rPr>
      </w:pPr>
      <w:r>
        <w:rPr>
          <w:rFonts w:ascii="Arial" w:cs="Arial" w:eastAsia="Arial" w:hAnsi="Arial"/>
          <w:sz w:val="22"/>
          <w:szCs w:val="22"/>
          <w:color w:val="auto"/>
        </w:rPr>
        <w:t>Original equipment bookings were $468.9 million, or 48% of total bookings, up 15.9%, or 17.4%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360"/>
        <w:spacing w:after="0" w:line="230" w:lineRule="auto"/>
        <w:rPr>
          <w:sz w:val="20"/>
          <w:szCs w:val="20"/>
          <w:color w:val="auto"/>
        </w:rPr>
      </w:pPr>
      <w:r>
        <w:rPr>
          <w:rFonts w:ascii="Arial" w:cs="Arial" w:eastAsia="Arial" w:hAnsi="Arial"/>
          <w:sz w:val="22"/>
          <w:szCs w:val="22"/>
          <w:color w:val="auto"/>
        </w:rPr>
        <w:t>Aftermarket bookings were $500.2 million, or 52% of total bookings, up 19.0%, or 20.2%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1" w:lineRule="auto"/>
        <w:rPr>
          <w:sz w:val="20"/>
          <w:szCs w:val="20"/>
          <w:color w:val="auto"/>
        </w:rPr>
      </w:pPr>
      <w:r>
        <w:rPr>
          <w:rFonts w:ascii="Arial" w:cs="Arial" w:eastAsia="Arial" w:hAnsi="Arial"/>
          <w:sz w:val="22"/>
          <w:szCs w:val="22"/>
          <w:color w:val="auto"/>
        </w:rPr>
        <w:t>Sales were $919.5 million, down 6.7%, or 5.7%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line="231" w:lineRule="auto"/>
        <w:rPr>
          <w:sz w:val="20"/>
          <w:szCs w:val="20"/>
          <w:color w:val="auto"/>
        </w:rPr>
      </w:pPr>
      <w:r>
        <w:rPr>
          <w:rFonts w:ascii="Arial" w:cs="Arial" w:eastAsia="Arial" w:hAnsi="Arial"/>
          <w:sz w:val="22"/>
          <w:szCs w:val="22"/>
          <w:color w:val="auto"/>
        </w:rPr>
        <w:t>Original equipment sales were $437.6 million, down 13.7%, or 12.7%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-104140</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2720" w:firstLine="304"/>
        <w:spacing w:after="0" w:line="237" w:lineRule="auto"/>
        <w:rPr>
          <w:sz w:val="20"/>
          <w:szCs w:val="20"/>
          <w:color w:val="auto"/>
        </w:rPr>
      </w:pPr>
      <w:r>
        <w:rPr>
          <w:sz w:val="1"/>
          <w:szCs w:val="1"/>
          <w:color w:val="auto"/>
        </w:rPr>
        <w:drawing>
          <wp:inline distT="0" distB="0" distL="0" distR="0">
            <wp:extent cx="68580" cy="68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21"/>
          <w:szCs w:val="21"/>
          <w:color w:val="auto"/>
        </w:rPr>
        <w:t xml:space="preserve"> Aftermarket sales were $481.8 million, up 0.7%, or 1.8% on a constant currency basis Reported gross and operating margins were 29.0% and 9.3%,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-98425</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line="181" w:lineRule="auto"/>
        <w:rPr>
          <w:sz w:val="20"/>
          <w:szCs w:val="20"/>
          <w:color w:val="auto"/>
        </w:rPr>
      </w:pPr>
      <w:r>
        <w:rPr>
          <w:rFonts w:ascii="Arial" w:cs="Arial" w:eastAsia="Arial" w:hAnsi="Arial"/>
          <w:sz w:val="19"/>
          <w:szCs w:val="19"/>
          <w:color w:val="auto"/>
        </w:rPr>
        <w:t>Adjusted gross and operating margins</w:t>
      </w:r>
      <w:r>
        <w:rPr>
          <w:rFonts w:ascii="Arial" w:cs="Arial" w:eastAsia="Arial" w:hAnsi="Arial"/>
          <w:sz w:val="29"/>
          <w:szCs w:val="29"/>
          <w:color w:val="auto"/>
          <w:vertAlign w:val="superscript"/>
        </w:rPr>
        <w:t>2</w:t>
      </w:r>
      <w:r>
        <w:rPr>
          <w:rFonts w:ascii="Arial" w:cs="Arial" w:eastAsia="Arial" w:hAnsi="Arial"/>
          <w:sz w:val="19"/>
          <w:szCs w:val="19"/>
          <w:color w:val="auto"/>
        </w:rPr>
        <w:t xml:space="preserve"> were 29.2% and 9.3%,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-103505</wp:posOffset>
            </wp:positionV>
            <wp:extent cx="68580" cy="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rPr>
          <w:sz w:val="20"/>
          <w:szCs w:val="20"/>
          <w:color w:val="auto"/>
        </w:rPr>
      </w:pPr>
      <w:r>
        <w:rPr>
          <w:rFonts w:ascii="Arial" w:cs="Arial" w:eastAsia="Arial" w:hAnsi="Arial"/>
          <w:sz w:val="22"/>
          <w:szCs w:val="22"/>
          <w:color w:val="auto"/>
        </w:rPr>
        <w:t>Backlog at December 31, 2021 was $2.0 billion, up 8.0% versus December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-110490</wp:posOffset>
            </wp:positionV>
            <wp:extent cx="68580" cy="685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Full Year 2021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full year 2020, unless otherwise noted)</w:t>
      </w:r>
    </w:p>
    <w:p>
      <w:pPr>
        <w:spacing w:after="0" w:line="7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of $0.96 and Adjusted EPS</w:t>
      </w:r>
      <w:r>
        <w:rPr>
          <w:rFonts w:ascii="Arial" w:cs="Arial" w:eastAsia="Arial" w:hAnsi="Arial"/>
          <w:sz w:val="35"/>
          <w:szCs w:val="35"/>
          <w:color w:val="auto"/>
          <w:vertAlign w:val="superscript"/>
        </w:rPr>
        <w:t>1</w:t>
      </w:r>
      <w:r>
        <w:rPr>
          <w:rFonts w:ascii="Arial" w:cs="Arial" w:eastAsia="Arial" w:hAnsi="Arial"/>
          <w:sz w:val="22"/>
          <w:szCs w:val="22"/>
          <w:color w:val="auto"/>
        </w:rPr>
        <w:t xml:space="preserve"> of $1.38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1080" w:right="80"/>
        <w:spacing w:after="0" w:line="230" w:lineRule="auto"/>
        <w:rPr>
          <w:sz w:val="20"/>
          <w:szCs w:val="20"/>
          <w:color w:val="auto"/>
        </w:rPr>
      </w:pPr>
      <w:r>
        <w:rPr>
          <w:rFonts w:ascii="Arial" w:cs="Arial" w:eastAsia="Arial" w:hAnsi="Arial"/>
          <w:sz w:val="22"/>
          <w:szCs w:val="22"/>
          <w:color w:val="auto"/>
        </w:rPr>
        <w:t>Reported EPS includes a net after-tax adjusted loss of $55.3 million, comprised primarily of early extinguishment of debt costs, below-the-line foreign exchange impacts and realignment expenses partially offset by certain discrete tax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-411480</wp:posOffset>
            </wp:positionV>
            <wp:extent cx="68580" cy="685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2" w:lineRule="auto"/>
        <w:rPr>
          <w:sz w:val="20"/>
          <w:szCs w:val="20"/>
          <w:color w:val="auto"/>
        </w:rPr>
      </w:pPr>
      <w:r>
        <w:rPr>
          <w:rFonts w:ascii="Arial" w:cs="Arial" w:eastAsia="Arial" w:hAnsi="Arial"/>
          <w:sz w:val="22"/>
          <w:szCs w:val="22"/>
          <w:color w:val="auto"/>
        </w:rPr>
        <w:t>Total bookings were $3.77 billion, up 10.6%, or 8.8%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line="230" w:lineRule="auto"/>
        <w:rPr>
          <w:sz w:val="20"/>
          <w:szCs w:val="20"/>
          <w:color w:val="auto"/>
        </w:rPr>
      </w:pPr>
      <w:r>
        <w:rPr>
          <w:rFonts w:ascii="Arial" w:cs="Arial" w:eastAsia="Arial" w:hAnsi="Arial"/>
          <w:sz w:val="22"/>
          <w:szCs w:val="22"/>
          <w:color w:val="auto"/>
        </w:rPr>
        <w:t>Original equipment bookings were $1.80 billion, or 48% of total bookings, up 10.9%, or 8.9%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140" w:firstLine="304"/>
        <w:spacing w:after="0" w:line="230" w:lineRule="auto"/>
        <w:rPr>
          <w:sz w:val="20"/>
          <w:szCs w:val="20"/>
          <w:color w:val="auto"/>
        </w:rPr>
      </w:pPr>
      <w:r>
        <w:rPr>
          <w:sz w:val="1"/>
          <w:szCs w:val="1"/>
          <w:color w:val="auto"/>
        </w:rPr>
        <w:drawing>
          <wp:inline distT="0" distB="0" distL="0" distR="0">
            <wp:extent cx="68580" cy="685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22"/>
          <w:szCs w:val="22"/>
          <w:color w:val="auto"/>
        </w:rPr>
        <w:t xml:space="preserve"> Aftermarket bookings were $1.98 billion, or 52% of total bookings, up 10.4%, or 8.7% on a constant currency basis Sales were $3.54 billion, down 5.0%, or 6.8%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line="231" w:lineRule="auto"/>
        <w:rPr>
          <w:sz w:val="20"/>
          <w:szCs w:val="20"/>
          <w:color w:val="auto"/>
        </w:rPr>
      </w:pPr>
      <w:r>
        <w:rPr>
          <w:rFonts w:ascii="Arial" w:cs="Arial" w:eastAsia="Arial" w:hAnsi="Arial"/>
          <w:sz w:val="22"/>
          <w:szCs w:val="22"/>
          <w:color w:val="auto"/>
        </w:rPr>
        <w:t>Original equipment sales were $1.70 billion, down 10.3%, or 12.3%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-103505</wp:posOffset>
            </wp:positionV>
            <wp:extent cx="68580" cy="685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2340" w:firstLine="304"/>
        <w:spacing w:after="0" w:line="237" w:lineRule="auto"/>
        <w:rPr>
          <w:sz w:val="20"/>
          <w:szCs w:val="20"/>
          <w:color w:val="auto"/>
        </w:rPr>
      </w:pPr>
      <w:r>
        <w:rPr>
          <w:sz w:val="1"/>
          <w:szCs w:val="1"/>
          <w:color w:val="auto"/>
        </w:rPr>
        <w:drawing>
          <wp:inline distT="0" distB="0" distL="0" distR="0">
            <wp:extent cx="68580" cy="685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21"/>
          <w:szCs w:val="21"/>
          <w:color w:val="auto"/>
        </w:rPr>
        <w:t xml:space="preserve"> Aftermarket sales were $1.84 billion, up 0.5%, or down 1.1% on a constant currency basis Reported gross and operating margins were 29.6% and 7.6%,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-98425</wp:posOffset>
            </wp:positionV>
            <wp:extent cx="68580" cy="685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5"/>
          <w:szCs w:val="35"/>
          <w:color w:val="auto"/>
          <w:vertAlign w:val="superscript"/>
        </w:rPr>
        <w:t>2</w:t>
      </w:r>
      <w:r>
        <w:rPr>
          <w:rFonts w:ascii="Arial" w:cs="Arial" w:eastAsia="Arial" w:hAnsi="Arial"/>
          <w:sz w:val="22"/>
          <w:szCs w:val="22"/>
          <w:color w:val="auto"/>
        </w:rPr>
        <w:t xml:space="preserve"> were 30.1% and 8.2%,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-200025</wp:posOffset>
            </wp:positionV>
            <wp:extent cx="68580" cy="685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32" w:lineRule="exact"/>
        <w:rPr>
          <w:sz w:val="20"/>
          <w:szCs w:val="20"/>
          <w:color w:val="auto"/>
        </w:rPr>
      </w:pPr>
    </w:p>
    <w:p>
      <w:pPr>
        <w:ind w:right="140"/>
        <w:spacing w:after="0" w:line="278" w:lineRule="auto"/>
        <w:rPr>
          <w:sz w:val="20"/>
          <w:szCs w:val="20"/>
          <w:color w:val="auto"/>
        </w:rPr>
      </w:pPr>
      <w:r>
        <w:rPr>
          <w:rFonts w:ascii="Arial" w:cs="Arial" w:eastAsia="Arial" w:hAnsi="Arial"/>
          <w:sz w:val="19"/>
          <w:szCs w:val="19"/>
          <w:color w:val="auto"/>
        </w:rPr>
        <w:t>“In the fourth quarter of 2021, Flowserve delivered our highest level of quarterly bookings since the beginning of the pandemic. We expect this momentum to continue based on the current market environment and believe Flowserve is well-positioned to capture the building growth opportunities that we see across our end markets,” said Scott Rowe, Flowserve’s president and chief executive officer. “While our fourth quarter results and operations were impacted by the Omicron variant, including additional supply chain and logistics disruptions and labor availability headwinds that resulted in incremental revenue deferral and temporary margin deterioration, we ended the year with a solid $2 billion backlog, supporting our 2022 growth expectations.”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5" w:name="page6"/>
    <w:bookmarkEnd w:id="5"/>
    <w:p>
      <w:pPr>
        <w:ind w:right="40"/>
        <w:spacing w:after="0" w:line="279" w:lineRule="auto"/>
        <w:rPr>
          <w:sz w:val="20"/>
          <w:szCs w:val="20"/>
          <w:color w:val="auto"/>
        </w:rPr>
      </w:pPr>
      <w:r>
        <w:rPr>
          <w:rFonts w:ascii="Arial" w:cs="Arial" w:eastAsia="Arial" w:hAnsi="Arial"/>
          <w:sz w:val="19"/>
          <w:szCs w:val="19"/>
          <w:color w:val="auto"/>
        </w:rPr>
        <w:t>Rowe concluded, “In addition to improved conditions in our traditional end-markets, Flowserve is setting the stage to accelerate new growth opportunities through our new 3D strategy, focused on Diversification, Decarbonization and Digitization. With this focus, we are targeting opportunities in less cyclical markets with higher growth potential, such as water, specialty chemical and general industries, while supporting our customers’ aspirations to decarbonize, lower operating costs and maximize energy efficiency. We are confident that our growth strategy, coupled with our improved cost structure and operating platform, provides Flowserve with a strong foundation to deliver value for all of our stakeholders.”</w:t>
      </w:r>
    </w:p>
    <w:p>
      <w:pPr>
        <w:spacing w:after="0" w:line="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2022 Guidance</w:t>
      </w:r>
      <w:r>
        <w:rPr>
          <w:rFonts w:ascii="Arial" w:cs="Arial" w:eastAsia="Arial" w:hAnsi="Arial"/>
          <w:sz w:val="35"/>
          <w:szCs w:val="35"/>
          <w:color w:val="auto"/>
          <w:vertAlign w:val="superscript"/>
        </w:rPr>
        <w:t>3</w:t>
      </w:r>
    </w:p>
    <w:p>
      <w:pPr>
        <w:ind w:right="60"/>
        <w:spacing w:after="0" w:line="236" w:lineRule="auto"/>
        <w:rPr>
          <w:sz w:val="20"/>
          <w:szCs w:val="20"/>
          <w:color w:val="auto"/>
        </w:rPr>
      </w:pPr>
      <w:r>
        <w:rPr>
          <w:rFonts w:ascii="Arial" w:cs="Arial" w:eastAsia="Arial" w:hAnsi="Arial"/>
          <w:sz w:val="22"/>
          <w:szCs w:val="22"/>
          <w:color w:val="auto"/>
        </w:rPr>
        <w:t>Flowserve is providing its Reported and Adjusted EPS guidance for 2022, as well as certain other financial metrics, as shown in the table below.</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120" w:type="dxa"/>
            <w:vAlign w:val="bottom"/>
          </w:tcPr>
          <w:p>
            <w:pPr>
              <w:spacing w:after="0"/>
              <w:rPr>
                <w:sz w:val="17"/>
                <w:szCs w:val="17"/>
                <w:color w:val="auto"/>
              </w:rPr>
            </w:pPr>
          </w:p>
        </w:tc>
        <w:tc>
          <w:tcPr>
            <w:tcW w:w="146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2022 Target Range</w:t>
            </w:r>
          </w:p>
        </w:tc>
      </w:tr>
      <w:tr>
        <w:trPr>
          <w:trHeight w:val="263"/>
        </w:trPr>
        <w:tc>
          <w:tcPr>
            <w:tcW w:w="2120" w:type="dxa"/>
            <w:vAlign w:val="bottom"/>
          </w:tcPr>
          <w:p>
            <w:pPr>
              <w:spacing w:after="0"/>
              <w:rPr>
                <w:sz w:val="20"/>
                <w:szCs w:val="20"/>
                <w:color w:val="auto"/>
              </w:rPr>
            </w:pPr>
            <w:r>
              <w:rPr>
                <w:rFonts w:ascii="Arial" w:cs="Arial" w:eastAsia="Arial" w:hAnsi="Arial"/>
                <w:sz w:val="18"/>
                <w:szCs w:val="18"/>
                <w:color w:val="auto"/>
              </w:rPr>
              <w:t>Revenue Growth</w:t>
            </w:r>
          </w:p>
        </w:tc>
        <w:tc>
          <w:tcPr>
            <w:tcW w:w="20" w:type="dxa"/>
            <w:vAlign w:val="bottom"/>
          </w:tcPr>
          <w:p>
            <w:pPr>
              <w:spacing w:after="0"/>
              <w:rPr>
                <w:sz w:val="22"/>
                <w:szCs w:val="22"/>
                <w:color w:val="auto"/>
              </w:rPr>
            </w:pPr>
          </w:p>
        </w:tc>
        <w:tc>
          <w:tcPr>
            <w:tcW w:w="1440" w:type="dxa"/>
            <w:vAlign w:val="bottom"/>
            <w:tcBorders>
              <w:top w:val="single" w:sz="8" w:color="auto"/>
            </w:tcBorders>
            <w:gridSpan w:val="2"/>
          </w:tcPr>
          <w:p>
            <w:pPr>
              <w:jc w:val="center"/>
              <w:spacing w:after="0"/>
              <w:rPr>
                <w:sz w:val="20"/>
                <w:szCs w:val="20"/>
                <w:color w:val="auto"/>
              </w:rPr>
            </w:pPr>
            <w:r>
              <w:rPr>
                <w:rFonts w:ascii="Arial" w:cs="Arial" w:eastAsia="Arial" w:hAnsi="Arial"/>
                <w:sz w:val="18"/>
                <w:szCs w:val="18"/>
                <w:color w:val="auto"/>
                <w:w w:val="91"/>
              </w:rPr>
              <w:t>Up 7.0% to 9.0%</w:t>
            </w:r>
          </w:p>
        </w:tc>
      </w:tr>
      <w:tr>
        <w:trPr>
          <w:trHeight w:val="243"/>
        </w:trPr>
        <w:tc>
          <w:tcPr>
            <w:tcW w:w="2120" w:type="dxa"/>
            <w:vAlign w:val="bottom"/>
          </w:tcPr>
          <w:p>
            <w:pPr>
              <w:spacing w:after="0"/>
              <w:rPr>
                <w:sz w:val="20"/>
                <w:szCs w:val="20"/>
                <w:color w:val="auto"/>
              </w:rPr>
            </w:pPr>
            <w:r>
              <w:rPr>
                <w:rFonts w:ascii="Arial" w:cs="Arial" w:eastAsia="Arial" w:hAnsi="Arial"/>
                <w:sz w:val="18"/>
                <w:szCs w:val="18"/>
                <w:color w:val="auto"/>
                <w:w w:val="88"/>
              </w:rPr>
              <w:t>Reported Earnings Per Share</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$1.65</w:t>
            </w:r>
          </w:p>
        </w:tc>
        <w:tc>
          <w:tcPr>
            <w:tcW w:w="760" w:type="dxa"/>
            <w:vAlign w:val="bottom"/>
          </w:tcPr>
          <w:p>
            <w:pPr>
              <w:ind w:left="20"/>
              <w:spacing w:after="0"/>
              <w:rPr>
                <w:sz w:val="20"/>
                <w:szCs w:val="20"/>
                <w:color w:val="auto"/>
              </w:rPr>
            </w:pPr>
            <w:r>
              <w:rPr>
                <w:rFonts w:ascii="Arial" w:cs="Arial" w:eastAsia="Arial" w:hAnsi="Arial"/>
                <w:sz w:val="18"/>
                <w:szCs w:val="18"/>
                <w:color w:val="auto"/>
              </w:rPr>
              <w:t>- $1.85</w:t>
            </w:r>
          </w:p>
        </w:tc>
      </w:tr>
      <w:tr>
        <w:trPr>
          <w:trHeight w:val="243"/>
        </w:trPr>
        <w:tc>
          <w:tcPr>
            <w:tcW w:w="2120" w:type="dxa"/>
            <w:vAlign w:val="bottom"/>
          </w:tcPr>
          <w:p>
            <w:pPr>
              <w:spacing w:after="0"/>
              <w:rPr>
                <w:sz w:val="20"/>
                <w:szCs w:val="20"/>
                <w:color w:val="auto"/>
              </w:rPr>
            </w:pPr>
            <w:r>
              <w:rPr>
                <w:rFonts w:ascii="Arial" w:cs="Arial" w:eastAsia="Arial" w:hAnsi="Arial"/>
                <w:sz w:val="18"/>
                <w:szCs w:val="18"/>
                <w:color w:val="auto"/>
                <w:w w:val="90"/>
              </w:rPr>
              <w:t>Adjusted Earnings Per Share</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$1.70</w:t>
            </w:r>
          </w:p>
        </w:tc>
        <w:tc>
          <w:tcPr>
            <w:tcW w:w="760" w:type="dxa"/>
            <w:vAlign w:val="bottom"/>
          </w:tcPr>
          <w:p>
            <w:pPr>
              <w:ind w:left="20"/>
              <w:spacing w:after="0"/>
              <w:rPr>
                <w:sz w:val="20"/>
                <w:szCs w:val="20"/>
                <w:color w:val="auto"/>
              </w:rPr>
            </w:pPr>
            <w:r>
              <w:rPr>
                <w:rFonts w:ascii="Arial" w:cs="Arial" w:eastAsia="Arial" w:hAnsi="Arial"/>
                <w:sz w:val="18"/>
                <w:szCs w:val="18"/>
                <w:color w:val="auto"/>
              </w:rPr>
              <w:t>- $1.90</w:t>
            </w:r>
          </w:p>
        </w:tc>
      </w:tr>
      <w:tr>
        <w:trPr>
          <w:trHeight w:val="243"/>
        </w:trPr>
        <w:tc>
          <w:tcPr>
            <w:tcW w:w="2120" w:type="dxa"/>
            <w:vAlign w:val="bottom"/>
          </w:tcPr>
          <w:p>
            <w:pPr>
              <w:spacing w:after="0"/>
              <w:rPr>
                <w:sz w:val="20"/>
                <w:szCs w:val="20"/>
                <w:color w:val="auto"/>
              </w:rPr>
            </w:pPr>
            <w:r>
              <w:rPr>
                <w:rFonts w:ascii="Arial" w:cs="Arial" w:eastAsia="Arial" w:hAnsi="Arial"/>
                <w:sz w:val="18"/>
                <w:szCs w:val="18"/>
                <w:color w:val="auto"/>
              </w:rPr>
              <w:t>Net Interest Expense</w:t>
            </w:r>
          </w:p>
        </w:tc>
        <w:tc>
          <w:tcPr>
            <w:tcW w:w="20" w:type="dxa"/>
            <w:vAlign w:val="bottom"/>
          </w:tcPr>
          <w:p>
            <w:pPr>
              <w:spacing w:after="0"/>
              <w:rPr>
                <w:sz w:val="21"/>
                <w:szCs w:val="21"/>
                <w:color w:val="auto"/>
              </w:rPr>
            </w:pPr>
          </w:p>
        </w:tc>
        <w:tc>
          <w:tcPr>
            <w:tcW w:w="1440" w:type="dxa"/>
            <w:vAlign w:val="bottom"/>
            <w:gridSpan w:val="2"/>
          </w:tcPr>
          <w:p>
            <w:pPr>
              <w:jc w:val="center"/>
              <w:spacing w:after="0"/>
              <w:rPr>
                <w:sz w:val="20"/>
                <w:szCs w:val="20"/>
                <w:color w:val="auto"/>
              </w:rPr>
            </w:pPr>
            <w:r>
              <w:rPr>
                <w:rFonts w:ascii="Arial" w:cs="Arial" w:eastAsia="Arial" w:hAnsi="Arial"/>
                <w:sz w:val="18"/>
                <w:szCs w:val="18"/>
                <w:color w:val="auto"/>
                <w:w w:val="95"/>
              </w:rPr>
              <w:t>$45 - $50 million</w:t>
            </w:r>
          </w:p>
        </w:tc>
      </w:tr>
      <w:tr>
        <w:trPr>
          <w:trHeight w:val="243"/>
        </w:trPr>
        <w:tc>
          <w:tcPr>
            <w:tcW w:w="2120" w:type="dxa"/>
            <w:vAlign w:val="bottom"/>
          </w:tcPr>
          <w:p>
            <w:pPr>
              <w:spacing w:after="0"/>
              <w:rPr>
                <w:sz w:val="20"/>
                <w:szCs w:val="20"/>
                <w:color w:val="auto"/>
              </w:rPr>
            </w:pPr>
            <w:r>
              <w:rPr>
                <w:rFonts w:ascii="Arial" w:cs="Arial" w:eastAsia="Arial" w:hAnsi="Arial"/>
                <w:sz w:val="18"/>
                <w:szCs w:val="18"/>
                <w:color w:val="auto"/>
              </w:rPr>
              <w:t>Adjusted Tax Rate</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760" w:type="dxa"/>
            <w:vAlign w:val="bottom"/>
          </w:tcPr>
          <w:p>
            <w:pPr>
              <w:ind w:left="20"/>
              <w:spacing w:after="0"/>
              <w:rPr>
                <w:sz w:val="20"/>
                <w:szCs w:val="20"/>
                <w:color w:val="auto"/>
              </w:rPr>
            </w:pPr>
            <w:r>
              <w:rPr>
                <w:rFonts w:ascii="Arial" w:cs="Arial" w:eastAsia="Arial" w:hAnsi="Arial"/>
                <w:sz w:val="18"/>
                <w:szCs w:val="18"/>
                <w:color w:val="auto"/>
              </w:rPr>
              <w:t>- 22%</w:t>
            </w:r>
          </w:p>
        </w:tc>
      </w:tr>
      <w:tr>
        <w:trPr>
          <w:trHeight w:val="243"/>
        </w:trPr>
        <w:tc>
          <w:tcPr>
            <w:tcW w:w="2120" w:type="dxa"/>
            <w:vAlign w:val="bottom"/>
          </w:tcPr>
          <w:p>
            <w:pPr>
              <w:spacing w:after="0"/>
              <w:rPr>
                <w:sz w:val="20"/>
                <w:szCs w:val="20"/>
                <w:color w:val="auto"/>
              </w:rPr>
            </w:pPr>
            <w:r>
              <w:rPr>
                <w:rFonts w:ascii="Arial" w:cs="Arial" w:eastAsia="Arial" w:hAnsi="Arial"/>
                <w:sz w:val="18"/>
                <w:szCs w:val="18"/>
                <w:color w:val="auto"/>
              </w:rPr>
              <w:t>Capital Expenditures</w:t>
            </w:r>
          </w:p>
        </w:tc>
        <w:tc>
          <w:tcPr>
            <w:tcW w:w="20" w:type="dxa"/>
            <w:vAlign w:val="bottom"/>
          </w:tcPr>
          <w:p>
            <w:pPr>
              <w:spacing w:after="0"/>
              <w:rPr>
                <w:sz w:val="21"/>
                <w:szCs w:val="21"/>
                <w:color w:val="auto"/>
              </w:rPr>
            </w:pPr>
          </w:p>
        </w:tc>
        <w:tc>
          <w:tcPr>
            <w:tcW w:w="1440" w:type="dxa"/>
            <w:vAlign w:val="bottom"/>
            <w:gridSpan w:val="2"/>
          </w:tcPr>
          <w:p>
            <w:pPr>
              <w:jc w:val="center"/>
              <w:spacing w:after="0"/>
              <w:rPr>
                <w:sz w:val="20"/>
                <w:szCs w:val="20"/>
                <w:color w:val="auto"/>
              </w:rPr>
            </w:pPr>
            <w:r>
              <w:rPr>
                <w:rFonts w:ascii="Arial" w:cs="Arial" w:eastAsia="Arial" w:hAnsi="Arial"/>
                <w:sz w:val="18"/>
                <w:szCs w:val="18"/>
                <w:color w:val="auto"/>
                <w:w w:val="95"/>
              </w:rPr>
              <w:t>$70 - $80 million</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22"/>
          <w:szCs w:val="22"/>
          <w:color w:val="auto"/>
        </w:rPr>
        <w:t>Flowserve’s 2022 Adjusted EPS target range excludes expected adjusted items including realignment charges of approximately $10 million, as well as the potential impact of below-the-line foreign currency effects and certain other discrete items which may arise during the course of the year.</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Fourth Quarter 2021 Results Conference Call</w:t>
      </w:r>
    </w:p>
    <w:p>
      <w:pPr>
        <w:spacing w:after="0" w:line="6" w:lineRule="exact"/>
        <w:rPr>
          <w:sz w:val="20"/>
          <w:szCs w:val="20"/>
          <w:color w:val="auto"/>
        </w:rPr>
      </w:pPr>
    </w:p>
    <w:p>
      <w:pPr>
        <w:ind w:right="140"/>
        <w:spacing w:after="0" w:line="217" w:lineRule="auto"/>
        <w:rPr>
          <w:sz w:val="20"/>
          <w:szCs w:val="20"/>
          <w:color w:val="auto"/>
        </w:rPr>
      </w:pPr>
      <w:r>
        <w:rPr>
          <w:rFonts w:ascii="Arial" w:cs="Arial" w:eastAsia="Arial" w:hAnsi="Arial"/>
          <w:sz w:val="20"/>
          <w:szCs w:val="20"/>
          <w:color w:val="auto"/>
        </w:rPr>
        <w:t>Flowserve will host its conference call with the financial community on Thursday, February 24</w:t>
      </w:r>
      <w:r>
        <w:rPr>
          <w:rFonts w:ascii="Arial" w:cs="Arial" w:eastAsia="Arial" w:hAnsi="Arial"/>
          <w:sz w:val="32"/>
          <w:szCs w:val="32"/>
          <w:color w:val="auto"/>
          <w:vertAlign w:val="superscript"/>
        </w:rPr>
        <w:t>th</w:t>
      </w:r>
      <w:r>
        <w:rPr>
          <w:rFonts w:ascii="Arial" w:cs="Arial" w:eastAsia="Arial" w:hAnsi="Arial"/>
          <w:sz w:val="20"/>
          <w:szCs w:val="20"/>
          <w:color w:val="auto"/>
        </w:rPr>
        <w:t xml:space="preserve"> at 11:00 AM Eastern. Scott Rowe, president and chief executive officer, as well as other members of the management team will be presenting. The call can be accessed by shareholders and other interested parties at www.flowserve.com under the “Investor Relations” section.</w:t>
      </w:r>
    </w:p>
    <w:p>
      <w:pPr>
        <w:spacing w:after="0" w:line="45" w:lineRule="exact"/>
        <w:rPr>
          <w:sz w:val="20"/>
          <w:szCs w:val="20"/>
          <w:color w:val="auto"/>
        </w:rPr>
      </w:pPr>
    </w:p>
    <w:p>
      <w:pPr>
        <w:ind w:left="140" w:hanging="132"/>
        <w:spacing w:after="0"/>
        <w:tabs>
          <w:tab w:leader="none" w:pos="140" w:val="left"/>
        </w:tabs>
        <w:numPr>
          <w:ilvl w:val="0"/>
          <w:numId w:val="3"/>
        </w:numPr>
        <w:rPr>
          <w:rFonts w:ascii="Arial" w:cs="Arial" w:eastAsia="Arial" w:hAnsi="Arial"/>
          <w:sz w:val="35"/>
          <w:szCs w:val="35"/>
          <w:color w:val="auto"/>
          <w:vertAlign w:val="superscript"/>
        </w:rPr>
      </w:pPr>
      <w:r>
        <w:rPr>
          <w:rFonts w:ascii="Arial" w:cs="Arial" w:eastAsia="Arial" w:hAnsi="Arial"/>
          <w:sz w:val="21"/>
          <w:szCs w:val="21"/>
          <w:color w:val="auto"/>
        </w:rPr>
        <w:t>See Reconciliation of Non-GAAP Measures table for detailed reconciliation of reported results to adjusted measures.</w:t>
      </w:r>
    </w:p>
    <w:p>
      <w:pPr>
        <w:ind w:right="100"/>
        <w:spacing w:after="0" w:line="192" w:lineRule="auto"/>
        <w:rPr>
          <w:rFonts w:ascii="Arial" w:cs="Arial" w:eastAsia="Arial" w:hAnsi="Arial"/>
          <w:sz w:val="35"/>
          <w:szCs w:val="35"/>
          <w:color w:val="auto"/>
          <w:vertAlign w:val="superscript"/>
        </w:rPr>
      </w:pPr>
      <w:r>
        <w:rPr>
          <w:rFonts w:ascii="Arial" w:cs="Arial" w:eastAsia="Arial" w:hAnsi="Arial"/>
          <w:sz w:val="35"/>
          <w:szCs w:val="35"/>
          <w:color w:val="auto"/>
          <w:vertAlign w:val="superscript"/>
        </w:rPr>
        <w:t>2</w:t>
      </w:r>
      <w:r>
        <w:rPr>
          <w:rFonts w:ascii="Arial" w:cs="Arial" w:eastAsia="Arial" w:hAnsi="Arial"/>
          <w:sz w:val="22"/>
          <w:szCs w:val="22"/>
          <w:color w:val="auto"/>
        </w:rPr>
        <w:t xml:space="preserve"> Adjusted gross and operating margins are calculated by dividing adjusted gross profit and adjusted operating income, respectively, by revenues. Adjusted gross profit and adjusted operating income are derived by excluding the adjusted items. See reconciliation of Non-GAAP Measures table for detailed reconciliation.</w:t>
      </w:r>
    </w:p>
    <w:p>
      <w:pPr>
        <w:spacing w:after="0" w:line="2" w:lineRule="exact"/>
        <w:rPr>
          <w:rFonts w:ascii="Arial" w:cs="Arial" w:eastAsia="Arial" w:hAnsi="Arial"/>
          <w:sz w:val="35"/>
          <w:szCs w:val="35"/>
          <w:color w:val="auto"/>
          <w:vertAlign w:val="superscript"/>
        </w:rPr>
      </w:pPr>
    </w:p>
    <w:p>
      <w:pPr>
        <w:ind w:right="260"/>
        <w:spacing w:after="0" w:line="184" w:lineRule="auto"/>
        <w:rPr>
          <w:rFonts w:ascii="Arial" w:cs="Arial" w:eastAsia="Arial" w:hAnsi="Arial"/>
          <w:sz w:val="35"/>
          <w:szCs w:val="35"/>
          <w:color w:val="auto"/>
          <w:vertAlign w:val="superscript"/>
        </w:rPr>
      </w:pPr>
      <w:r>
        <w:rPr>
          <w:rFonts w:ascii="Arial" w:cs="Arial" w:eastAsia="Arial" w:hAnsi="Arial"/>
          <w:sz w:val="34"/>
          <w:szCs w:val="34"/>
          <w:color w:val="auto"/>
          <w:vertAlign w:val="superscript"/>
        </w:rPr>
        <w:t>3</w:t>
      </w:r>
      <w:r>
        <w:rPr>
          <w:rFonts w:ascii="Arial" w:cs="Arial" w:eastAsia="Arial" w:hAnsi="Arial"/>
          <w:sz w:val="21"/>
          <w:szCs w:val="21"/>
          <w:color w:val="auto"/>
        </w:rPr>
        <w:t xml:space="preserve"> Adjusted 2022 EPS excludes realignment expenses, the impact from other specific discrete items and below-the-line foreign currency effects and utilizes year-end 2021 FX rates and approximately 131 million fully diluted shares.</w:t>
      </w:r>
    </w:p>
    <w:p>
      <w:pPr>
        <w:spacing w:after="0" w:line="1" w:lineRule="exact"/>
        <w:rPr>
          <w:rFonts w:ascii="Arial" w:cs="Arial" w:eastAsia="Arial" w:hAnsi="Arial"/>
          <w:sz w:val="35"/>
          <w:szCs w:val="35"/>
          <w:color w:val="auto"/>
          <w:vertAlign w:val="superscript"/>
        </w:rPr>
      </w:pPr>
    </w:p>
    <w:p>
      <w:pPr>
        <w:ind w:right="180"/>
        <w:spacing w:after="0" w:line="189" w:lineRule="auto"/>
        <w:rPr>
          <w:rFonts w:ascii="Arial" w:cs="Arial" w:eastAsia="Arial" w:hAnsi="Arial"/>
          <w:sz w:val="35"/>
          <w:szCs w:val="35"/>
          <w:color w:val="auto"/>
          <w:vertAlign w:val="superscript"/>
        </w:rPr>
      </w:pPr>
      <w:r>
        <w:rPr>
          <w:rFonts w:ascii="Arial" w:cs="Arial" w:eastAsia="Arial" w:hAnsi="Arial"/>
          <w:sz w:val="34"/>
          <w:szCs w:val="34"/>
          <w:color w:val="auto"/>
          <w:vertAlign w:val="superscript"/>
        </w:rPr>
        <w:t>_</w:t>
      </w:r>
      <w:r>
        <w:rPr>
          <w:rFonts w:ascii="Arial" w:cs="Arial" w:eastAsia="Arial" w:hAnsi="Arial"/>
          <w:sz w:val="21"/>
          <w:szCs w:val="21"/>
          <w:color w:val="auto"/>
        </w:rPr>
        <w:t xml:space="preserve"> FX impact is calculated by comparing the difference between the actual average FX rates of 2021 and the year-end 2021 spot rates both as applied to our 2022 expectations, divided by the number of shares expected for 2022.</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Flowserve</w:t>
      </w:r>
    </w:p>
    <w:p>
      <w:pPr>
        <w:spacing w:after="0" w:line="14" w:lineRule="exact"/>
        <w:rPr>
          <w:sz w:val="20"/>
          <w:szCs w:val="20"/>
          <w:color w:val="auto"/>
        </w:rPr>
      </w:pPr>
    </w:p>
    <w:p>
      <w:pPr>
        <w:ind w:right="320"/>
        <w:spacing w:after="0" w:line="233" w:lineRule="auto"/>
        <w:rPr>
          <w:sz w:val="20"/>
          <w:szCs w:val="20"/>
          <w:color w:val="auto"/>
        </w:rPr>
      </w:pPr>
      <w:r>
        <w:rPr>
          <w:rFonts w:ascii="Arial" w:cs="Arial" w:eastAsia="Arial" w:hAnsi="Arial"/>
          <w:sz w:val="22"/>
          <w:szCs w:val="22"/>
          <w:color w:val="auto"/>
        </w:rPr>
        <w:t>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www.flowserve.com.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132715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34" w:right="439" w:bottom="1440" w:gutter="0" w:footer="0" w:header="0"/>
        </w:sectPr>
      </w:pPr>
    </w:p>
    <w:bookmarkStart w:id="6" w:name="page7"/>
    <w:bookmarkEnd w:id="6"/>
    <w:p>
      <w:pPr>
        <w:jc w:val="both"/>
        <w:ind w:right="540"/>
        <w:spacing w:after="0" w:line="275"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the impact of the global outbreak of COVID-19 on our business and operations;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epidemics or pandemics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fourth-party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0" w:lineRule="exact"/>
        <w:rPr>
          <w:sz w:val="20"/>
          <w:szCs w:val="20"/>
          <w:color w:val="auto"/>
        </w:rPr>
      </w:pPr>
    </w:p>
    <w:p>
      <w:pPr>
        <w:spacing w:after="0" w:line="228" w:lineRule="exact"/>
        <w:rPr>
          <w:sz w:val="20"/>
          <w:szCs w:val="20"/>
          <w:color w:val="auto"/>
        </w:rPr>
      </w:pPr>
    </w:p>
    <w:p>
      <w:pPr>
        <w:ind w:right="140"/>
        <w:spacing w:after="0" w:line="250"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124460</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7" w:name="page8"/>
    <w:bookmarkEnd w:id="7"/>
    <w:p>
      <w:pPr>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20"/>
          </w:cols>
          <w:pgMar w:left="320" w:top="334" w:right="55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34"/>
        </w:trPr>
        <w:tc>
          <w:tcPr>
            <w:tcW w:w="8220" w:type="dxa"/>
            <w:vAlign w:val="bottom"/>
          </w:tcPr>
          <w:p>
            <w:pPr>
              <w:spacing w:after="0"/>
              <w:rPr>
                <w:sz w:val="20"/>
                <w:szCs w:val="20"/>
                <w:color w:val="auto"/>
              </w:rPr>
            </w:pPr>
            <w:r>
              <w:rPr>
                <w:rFonts w:ascii="Arial" w:cs="Arial" w:eastAsia="Arial" w:hAnsi="Arial"/>
                <w:sz w:val="18"/>
                <w:szCs w:val="18"/>
                <w:b w:val="1"/>
                <w:bCs w:val="1"/>
                <w:color w:val="auto"/>
              </w:rPr>
              <w:t>CONSOLIDATED STATEMENTS OF INCOME</w:t>
            </w: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82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900" w:type="dxa"/>
            <w:vAlign w:val="bottom"/>
            <w:tcBorders>
              <w:bottom w:val="single" w:sz="8" w:color="auto"/>
            </w:tcBorders>
            <w:gridSpan w:val="4"/>
          </w:tcPr>
          <w:p>
            <w:pPr>
              <w:jc w:val="right"/>
              <w:ind w:right="70"/>
              <w:spacing w:after="0"/>
              <w:rPr>
                <w:sz w:val="20"/>
                <w:szCs w:val="20"/>
                <w:color w:val="auto"/>
              </w:rPr>
            </w:pPr>
            <w:r>
              <w:rPr>
                <w:rFonts w:ascii="Arial" w:cs="Arial" w:eastAsia="Arial" w:hAnsi="Arial"/>
                <w:sz w:val="18"/>
                <w:szCs w:val="18"/>
                <w:b w:val="1"/>
                <w:bCs w:val="1"/>
                <w:color w:val="auto"/>
                <w:w w:val="90"/>
              </w:rPr>
              <w:t>Three Months Ended December 31,</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466"/>
        </w:trPr>
        <w:tc>
          <w:tcPr>
            <w:tcW w:w="8220" w:type="dxa"/>
            <w:vAlign w:val="bottom"/>
          </w:tcPr>
          <w:p>
            <w:pPr>
              <w:spacing w:after="0"/>
              <w:rPr>
                <w:sz w:val="20"/>
                <w:szCs w:val="20"/>
                <w:color w:val="auto"/>
              </w:rPr>
            </w:pPr>
            <w:r>
              <w:rPr>
                <w:rFonts w:ascii="Arial" w:cs="Arial" w:eastAsia="Arial" w:hAnsi="Arial"/>
                <w:sz w:val="18"/>
                <w:szCs w:val="18"/>
                <w:color w:val="auto"/>
              </w:rPr>
              <w:t>Sales</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919,456</w:t>
            </w:r>
          </w:p>
        </w:tc>
        <w:tc>
          <w:tcPr>
            <w:tcW w:w="4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985,308</w:t>
            </w:r>
          </w:p>
        </w:tc>
        <w:tc>
          <w:tcPr>
            <w:tcW w:w="0" w:type="dxa"/>
            <w:vAlign w:val="bottom"/>
          </w:tcPr>
          <w:p>
            <w:pPr>
              <w:spacing w:after="0"/>
              <w:rPr>
                <w:sz w:val="1"/>
                <w:szCs w:val="1"/>
                <w:color w:val="auto"/>
              </w:rPr>
            </w:pPr>
          </w:p>
        </w:tc>
      </w:tr>
      <w:tr>
        <w:trPr>
          <w:trHeight w:val="257"/>
        </w:trPr>
        <w:tc>
          <w:tcPr>
            <w:tcW w:w="8220" w:type="dxa"/>
            <w:vAlign w:val="bottom"/>
          </w:tcPr>
          <w:p>
            <w:pPr>
              <w:spacing w:after="0"/>
              <w:rPr>
                <w:sz w:val="20"/>
                <w:szCs w:val="20"/>
                <w:color w:val="auto"/>
              </w:rPr>
            </w:pPr>
            <w:r>
              <w:rPr>
                <w:rFonts w:ascii="Arial" w:cs="Arial" w:eastAsia="Arial" w:hAnsi="Arial"/>
                <w:sz w:val="18"/>
                <w:szCs w:val="18"/>
                <w:color w:val="auto"/>
              </w:rPr>
              <w:t>Cost of sales</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(652,362)</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(689,913)</w:t>
            </w:r>
          </w:p>
        </w:tc>
        <w:tc>
          <w:tcPr>
            <w:tcW w:w="0" w:type="dxa"/>
            <w:vAlign w:val="bottom"/>
          </w:tcPr>
          <w:p>
            <w:pPr>
              <w:spacing w:after="0"/>
              <w:rPr>
                <w:sz w:val="1"/>
                <w:szCs w:val="1"/>
                <w:color w:val="auto"/>
              </w:rPr>
            </w:pPr>
          </w:p>
        </w:tc>
      </w:tr>
      <w:tr>
        <w:trPr>
          <w:trHeight w:val="224"/>
        </w:trPr>
        <w:tc>
          <w:tcPr>
            <w:tcW w:w="8220" w:type="dxa"/>
            <w:vAlign w:val="bottom"/>
          </w:tcPr>
          <w:p>
            <w:pPr>
              <w:spacing w:after="0"/>
              <w:rPr>
                <w:sz w:val="20"/>
                <w:szCs w:val="20"/>
                <w:color w:val="auto"/>
              </w:rPr>
            </w:pPr>
            <w:r>
              <w:rPr>
                <w:rFonts w:ascii="Arial" w:cs="Arial" w:eastAsia="Arial" w:hAnsi="Arial"/>
                <w:sz w:val="18"/>
                <w:szCs w:val="18"/>
                <w:color w:val="auto"/>
              </w:rPr>
              <w:t>Gross profit</w:t>
            </w:r>
          </w:p>
        </w:tc>
        <w:tc>
          <w:tcPr>
            <w:tcW w:w="120" w:type="dxa"/>
            <w:vAlign w:val="bottom"/>
          </w:tcPr>
          <w:p>
            <w:pPr>
              <w:spacing w:after="0"/>
              <w:rPr>
                <w:sz w:val="19"/>
                <w:szCs w:val="19"/>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267,094</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295,395</w:t>
            </w:r>
          </w:p>
        </w:tc>
        <w:tc>
          <w:tcPr>
            <w:tcW w:w="0" w:type="dxa"/>
            <w:vAlign w:val="bottom"/>
          </w:tcPr>
          <w:p>
            <w:pPr>
              <w:spacing w:after="0"/>
              <w:rPr>
                <w:sz w:val="1"/>
                <w:szCs w:val="1"/>
                <w:color w:val="auto"/>
              </w:rPr>
            </w:pPr>
          </w:p>
        </w:tc>
      </w:tr>
      <w:tr>
        <w:trPr>
          <w:trHeight w:val="242"/>
        </w:trPr>
        <w:tc>
          <w:tcPr>
            <w:tcW w:w="82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(187,111)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(202,722)</w:t>
            </w:r>
          </w:p>
        </w:tc>
        <w:tc>
          <w:tcPr>
            <w:tcW w:w="0" w:type="dxa"/>
            <w:vAlign w:val="bottom"/>
          </w:tcPr>
          <w:p>
            <w:pPr>
              <w:spacing w:after="0"/>
              <w:rPr>
                <w:sz w:val="1"/>
                <w:szCs w:val="1"/>
                <w:color w:val="auto"/>
              </w:rPr>
            </w:pPr>
          </w:p>
        </w:tc>
      </w:tr>
      <w:tr>
        <w:trPr>
          <w:trHeight w:val="257"/>
        </w:trPr>
        <w:tc>
          <w:tcPr>
            <w:tcW w:w="82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5,147</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2,627</w:t>
            </w:r>
          </w:p>
        </w:tc>
        <w:tc>
          <w:tcPr>
            <w:tcW w:w="0" w:type="dxa"/>
            <w:vAlign w:val="bottom"/>
          </w:tcPr>
          <w:p>
            <w:pPr>
              <w:spacing w:after="0"/>
              <w:rPr>
                <w:sz w:val="1"/>
                <w:szCs w:val="1"/>
                <w:color w:val="auto"/>
              </w:rPr>
            </w:pPr>
          </w:p>
        </w:tc>
      </w:tr>
      <w:tr>
        <w:trPr>
          <w:trHeight w:val="224"/>
        </w:trPr>
        <w:tc>
          <w:tcPr>
            <w:tcW w:w="8220" w:type="dxa"/>
            <w:vAlign w:val="bottom"/>
          </w:tcPr>
          <w:p>
            <w:pPr>
              <w:spacing w:after="0"/>
              <w:rPr>
                <w:sz w:val="20"/>
                <w:szCs w:val="20"/>
                <w:color w:val="auto"/>
              </w:rPr>
            </w:pPr>
            <w:r>
              <w:rPr>
                <w:rFonts w:ascii="Arial" w:cs="Arial" w:eastAsia="Arial" w:hAnsi="Arial"/>
                <w:sz w:val="18"/>
                <w:szCs w:val="18"/>
                <w:color w:val="auto"/>
              </w:rPr>
              <w:t>Operating income</w:t>
            </w:r>
          </w:p>
        </w:tc>
        <w:tc>
          <w:tcPr>
            <w:tcW w:w="120" w:type="dxa"/>
            <w:vAlign w:val="bottom"/>
          </w:tcPr>
          <w:p>
            <w:pPr>
              <w:spacing w:after="0"/>
              <w:rPr>
                <w:sz w:val="19"/>
                <w:szCs w:val="19"/>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85,130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95,300</w:t>
            </w:r>
          </w:p>
        </w:tc>
        <w:tc>
          <w:tcPr>
            <w:tcW w:w="0" w:type="dxa"/>
            <w:vAlign w:val="bottom"/>
          </w:tcPr>
          <w:p>
            <w:pPr>
              <w:spacing w:after="0"/>
              <w:rPr>
                <w:sz w:val="1"/>
                <w:szCs w:val="1"/>
                <w:color w:val="auto"/>
              </w:rPr>
            </w:pPr>
          </w:p>
        </w:tc>
      </w:tr>
      <w:tr>
        <w:trPr>
          <w:trHeight w:val="242"/>
        </w:trPr>
        <w:tc>
          <w:tcPr>
            <w:tcW w:w="822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(11,770)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(16,779)</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Loss on extinguishment of debt</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(38,003)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1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871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604</w:t>
            </w:r>
          </w:p>
        </w:tc>
        <w:tc>
          <w:tcPr>
            <w:tcW w:w="0" w:type="dxa"/>
            <w:vAlign w:val="bottom"/>
          </w:tcPr>
          <w:p>
            <w:pPr>
              <w:spacing w:after="0"/>
              <w:rPr>
                <w:sz w:val="1"/>
                <w:szCs w:val="1"/>
                <w:color w:val="auto"/>
              </w:rPr>
            </w:pPr>
          </w:p>
        </w:tc>
      </w:tr>
      <w:tr>
        <w:trPr>
          <w:trHeight w:val="257"/>
        </w:trPr>
        <w:tc>
          <w:tcPr>
            <w:tcW w:w="822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(15,425)</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(18,742)</w:t>
            </w:r>
          </w:p>
        </w:tc>
        <w:tc>
          <w:tcPr>
            <w:tcW w:w="0" w:type="dxa"/>
            <w:vAlign w:val="bottom"/>
          </w:tcPr>
          <w:p>
            <w:pPr>
              <w:spacing w:after="0"/>
              <w:rPr>
                <w:sz w:val="1"/>
                <w:szCs w:val="1"/>
                <w:color w:val="auto"/>
              </w:rPr>
            </w:pPr>
          </w:p>
        </w:tc>
      </w:tr>
      <w:tr>
        <w:trPr>
          <w:trHeight w:val="224"/>
        </w:trPr>
        <w:tc>
          <w:tcPr>
            <w:tcW w:w="82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20" w:type="dxa"/>
            <w:vAlign w:val="bottom"/>
          </w:tcPr>
          <w:p>
            <w:pPr>
              <w:spacing w:after="0"/>
              <w:rPr>
                <w:sz w:val="19"/>
                <w:szCs w:val="19"/>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20,803</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60,383</w:t>
            </w:r>
          </w:p>
        </w:tc>
        <w:tc>
          <w:tcPr>
            <w:tcW w:w="0" w:type="dxa"/>
            <w:vAlign w:val="bottom"/>
          </w:tcPr>
          <w:p>
            <w:pPr>
              <w:spacing w:after="0"/>
              <w:rPr>
                <w:sz w:val="1"/>
                <w:szCs w:val="1"/>
                <w:color w:val="auto"/>
              </w:rPr>
            </w:pPr>
          </w:p>
        </w:tc>
      </w:tr>
      <w:tr>
        <w:trPr>
          <w:trHeight w:val="256"/>
        </w:trPr>
        <w:tc>
          <w:tcPr>
            <w:tcW w:w="82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(1,335)</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(767)</w:t>
            </w:r>
          </w:p>
        </w:tc>
        <w:tc>
          <w:tcPr>
            <w:tcW w:w="0" w:type="dxa"/>
            <w:vAlign w:val="bottom"/>
          </w:tcPr>
          <w:p>
            <w:pPr>
              <w:spacing w:after="0"/>
              <w:rPr>
                <w:sz w:val="1"/>
                <w:szCs w:val="1"/>
                <w:color w:val="auto"/>
              </w:rPr>
            </w:pPr>
          </w:p>
        </w:tc>
      </w:tr>
      <w:tr>
        <w:trPr>
          <w:trHeight w:val="224"/>
        </w:trPr>
        <w:tc>
          <w:tcPr>
            <w:tcW w:w="822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120" w:type="dxa"/>
            <w:vAlign w:val="bottom"/>
          </w:tcPr>
          <w:p>
            <w:pPr>
              <w:spacing w:after="0"/>
              <w:rPr>
                <w:sz w:val="19"/>
                <w:szCs w:val="19"/>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19,468</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59,616</w:t>
            </w:r>
          </w:p>
        </w:tc>
        <w:tc>
          <w:tcPr>
            <w:tcW w:w="0" w:type="dxa"/>
            <w:vAlign w:val="bottom"/>
          </w:tcPr>
          <w:p>
            <w:pPr>
              <w:spacing w:after="0"/>
              <w:rPr>
                <w:sz w:val="1"/>
                <w:szCs w:val="1"/>
                <w:color w:val="auto"/>
              </w:rPr>
            </w:pPr>
          </w:p>
        </w:tc>
      </w:tr>
      <w:tr>
        <w:trPr>
          <w:trHeight w:val="256"/>
        </w:trPr>
        <w:tc>
          <w:tcPr>
            <w:tcW w:w="8220" w:type="dxa"/>
            <w:vAlign w:val="bottom"/>
          </w:tcPr>
          <w:p>
            <w:pPr>
              <w:ind w:left="220"/>
              <w:spacing w:after="0"/>
              <w:rPr>
                <w:sz w:val="20"/>
                <w:szCs w:val="20"/>
                <w:color w:val="auto"/>
              </w:rPr>
            </w:pPr>
            <w:r>
              <w:rPr>
                <w:rFonts w:ascii="Arial" w:cs="Arial" w:eastAsia="Arial" w:hAnsi="Arial"/>
                <w:sz w:val="18"/>
                <w:szCs w:val="18"/>
                <w:color w:val="auto"/>
              </w:rPr>
              <w:t>Less: Net earnings attributable to noncontrolling interests</w:t>
            </w: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(2,738)</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(3,565)</w:t>
            </w:r>
          </w:p>
        </w:tc>
        <w:tc>
          <w:tcPr>
            <w:tcW w:w="0" w:type="dxa"/>
            <w:vAlign w:val="bottom"/>
          </w:tcPr>
          <w:p>
            <w:pPr>
              <w:spacing w:after="0"/>
              <w:rPr>
                <w:sz w:val="1"/>
                <w:szCs w:val="1"/>
                <w:color w:val="auto"/>
              </w:rPr>
            </w:pPr>
          </w:p>
        </w:tc>
      </w:tr>
      <w:tr>
        <w:trPr>
          <w:trHeight w:val="237"/>
        </w:trPr>
        <w:tc>
          <w:tcPr>
            <w:tcW w:w="822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16,730</w:t>
            </w:r>
          </w:p>
        </w:tc>
        <w:tc>
          <w:tcPr>
            <w:tcW w:w="120" w:type="dxa"/>
            <w:vAlign w:val="bottom"/>
          </w:tcPr>
          <w:p>
            <w:pPr>
              <w:spacing w:after="0"/>
              <w:rPr>
                <w:sz w:val="20"/>
                <w:szCs w:val="20"/>
                <w:color w:val="auto"/>
              </w:rPr>
            </w:pP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56,051</w:t>
            </w:r>
          </w:p>
        </w:tc>
        <w:tc>
          <w:tcPr>
            <w:tcW w:w="0" w:type="dxa"/>
            <w:vAlign w:val="bottom"/>
          </w:tcPr>
          <w:p>
            <w:pPr>
              <w:spacing w:after="0"/>
              <w:rPr>
                <w:sz w:val="1"/>
                <w:szCs w:val="1"/>
                <w:color w:val="auto"/>
              </w:rPr>
            </w:pPr>
          </w:p>
        </w:tc>
      </w:tr>
      <w:tr>
        <w:trPr>
          <w:trHeight w:val="20"/>
        </w:trPr>
        <w:tc>
          <w:tcPr>
            <w:tcW w:w="8220" w:type="dxa"/>
            <w:vAlign w:val="bottom"/>
            <w:vMerge w:val="restart"/>
          </w:tcPr>
          <w:p>
            <w:pPr>
              <w:spacing w:after="0"/>
              <w:rPr>
                <w:sz w:val="20"/>
                <w:szCs w:val="20"/>
                <w:color w:val="auto"/>
              </w:rPr>
            </w:pPr>
            <w:r>
              <w:rPr>
                <w:rFonts w:ascii="Arial" w:cs="Arial" w:eastAsia="Arial" w:hAnsi="Arial"/>
                <w:sz w:val="18"/>
                <w:szCs w:val="18"/>
                <w:color w:val="auto"/>
              </w:rPr>
              <w:t>Net earnings per share attributable to Flowserve Corporation common shareholders:</w:t>
            </w: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82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Basic</w:t>
            </w:r>
          </w:p>
        </w:tc>
        <w:tc>
          <w:tcPr>
            <w:tcW w:w="1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0.13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0.13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196"/>
        </w:trPr>
        <w:tc>
          <w:tcPr>
            <w:tcW w:w="82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8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580" w:type="dxa"/>
            <w:vAlign w:val="bottom"/>
            <w:tcBorders>
              <w:bottom w:val="single" w:sz="8" w:color="auto"/>
            </w:tcBorders>
            <w:gridSpan w:val="7"/>
          </w:tcPr>
          <w:p>
            <w:pPr>
              <w:jc w:val="right"/>
              <w:ind w:right="380"/>
              <w:spacing w:after="0"/>
              <w:rPr>
                <w:sz w:val="20"/>
                <w:szCs w:val="20"/>
                <w:color w:val="auto"/>
              </w:rPr>
            </w:pPr>
            <w:r>
              <w:rPr>
                <w:rFonts w:ascii="Arial" w:cs="Arial" w:eastAsia="Arial" w:hAnsi="Arial"/>
                <w:sz w:val="18"/>
                <w:szCs w:val="18"/>
                <w:b w:val="1"/>
                <w:bCs w:val="1"/>
                <w:color w:val="auto"/>
                <w:w w:val="92"/>
              </w:rPr>
              <w:t>Three Months Ended December 31, 2021</w:t>
            </w:r>
          </w:p>
        </w:tc>
        <w:tc>
          <w:tcPr>
            <w:tcW w:w="1280" w:type="dxa"/>
            <w:vAlign w:val="bottom"/>
            <w:tcBorders>
              <w:bottom w:val="single" w:sz="8" w:color="auto"/>
            </w:tcBorders>
          </w:tcPr>
          <w:p>
            <w:pPr>
              <w:spacing w:after="0"/>
              <w:rPr>
                <w:sz w:val="20"/>
                <w:szCs w:val="20"/>
                <w:color w:val="auto"/>
              </w:rPr>
            </w:pP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0"/>
              </w:rPr>
              <w:t>Realignment (1)</w:t>
            </w:r>
          </w:p>
        </w:tc>
        <w:tc>
          <w:tcPr>
            <w:tcW w:w="2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2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3"/>
              </w:rPr>
              <w:t>As Adjusted</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919,456</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919,456</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267,094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(1,031)</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268,125</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29.0%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29.2%</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(187,111)</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808</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(187,919)</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56"/>
        </w:trPr>
        <w:tc>
          <w:tcPr>
            <w:tcW w:w="48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0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5,147</w:t>
            </w: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5,147</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85,130</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(223)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85,353</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9.3%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9.3%</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(64,327)</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(51,355)</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(3)</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(12,972)</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20,803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(223)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(51,355)</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72,381</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10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(1,335)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(1,396)</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(2)</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10,788</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(4)</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(10,727)</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6.4%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-626.0%</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21.0%</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14.8%</w:t>
            </w:r>
          </w:p>
        </w:tc>
      </w:tr>
      <w:tr>
        <w:trPr>
          <w:trHeight w:val="486"/>
        </w:trPr>
        <w:tc>
          <w:tcPr>
            <w:tcW w:w="48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b w:val="1"/>
                <w:bCs w:val="1"/>
                <w:color w:val="auto"/>
              </w:rPr>
              <w:t>16,730</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(1,619)</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(40,567)</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b w:val="1"/>
                <w:bCs w:val="1"/>
                <w:color w:val="auto"/>
              </w:rPr>
              <w:t>58,916</w:t>
            </w:r>
          </w:p>
        </w:tc>
      </w:tr>
      <w:tr>
        <w:trPr>
          <w:trHeight w:val="472"/>
        </w:trPr>
        <w:tc>
          <w:tcPr>
            <w:tcW w:w="4820" w:type="dxa"/>
            <w:vAlign w:val="bottom"/>
          </w:tcPr>
          <w:p>
            <w:pPr>
              <w:spacing w:after="0"/>
              <w:rPr>
                <w:sz w:val="20"/>
                <w:szCs w:val="20"/>
                <w:color w:val="auto"/>
              </w:rPr>
            </w:pPr>
            <w:r>
              <w:rPr>
                <w:rFonts w:ascii="Arial" w:cs="Arial" w:eastAsia="Arial" w:hAnsi="Arial"/>
                <w:sz w:val="18"/>
                <w:szCs w:val="18"/>
                <w:color w:val="auto"/>
                <w:w w:val="99"/>
              </w:rPr>
              <w:t>Net earnings per share attributable to Flowserve Corporation</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230"/>
        </w:trPr>
        <w:tc>
          <w:tcPr>
            <w:tcW w:w="48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0.13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(0.01)</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(0.31)</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0.45</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0.13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(0.01)</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(0.31)</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0.45</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130,245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130,245</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130,245</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130,245</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130,829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130,829</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130,829</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130,829</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00" w:hanging="255"/>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00" w:hanging="255"/>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340" w:right="80" w:firstLine="5"/>
        <w:spacing w:after="0" w:line="266" w:lineRule="auto"/>
        <w:tabs>
          <w:tab w:leader="none" w:pos="595" w:val="left"/>
        </w:tabs>
        <w:numPr>
          <w:ilvl w:val="0"/>
          <w:numId w:val="4"/>
        </w:numPr>
        <w:rPr>
          <w:rFonts w:ascii="Arial" w:cs="Arial" w:eastAsia="Arial" w:hAnsi="Arial"/>
          <w:sz w:val="18"/>
          <w:szCs w:val="18"/>
          <w:color w:val="auto"/>
        </w:rPr>
      </w:pPr>
      <w:r>
        <w:rPr>
          <w:rFonts w:ascii="Arial" w:cs="Arial" w:eastAsia="Arial" w:hAnsi="Arial"/>
          <w:sz w:val="18"/>
          <w:szCs w:val="18"/>
          <w:color w:val="auto"/>
        </w:rPr>
        <w:t>Represents below-the-line foreign exchange impacts and $38.7 million of expense as a result of early extinguishment of debt and duplicate interest expense.</w:t>
      </w:r>
    </w:p>
    <w:p>
      <w:pPr>
        <w:ind w:left="600" w:hanging="255"/>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8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580" w:type="dxa"/>
            <w:vAlign w:val="bottom"/>
            <w:tcBorders>
              <w:bottom w:val="single" w:sz="8" w:color="auto"/>
            </w:tcBorders>
            <w:gridSpan w:val="7"/>
          </w:tcPr>
          <w:p>
            <w:pPr>
              <w:jc w:val="right"/>
              <w:ind w:right="380"/>
              <w:spacing w:after="0"/>
              <w:rPr>
                <w:sz w:val="20"/>
                <w:szCs w:val="20"/>
                <w:color w:val="auto"/>
              </w:rPr>
            </w:pPr>
            <w:r>
              <w:rPr>
                <w:rFonts w:ascii="Arial" w:cs="Arial" w:eastAsia="Arial" w:hAnsi="Arial"/>
                <w:sz w:val="18"/>
                <w:szCs w:val="18"/>
                <w:b w:val="1"/>
                <w:bCs w:val="1"/>
                <w:color w:val="auto"/>
                <w:w w:val="92"/>
              </w:rPr>
              <w:t>Three Months Ended December 31, 2020</w:t>
            </w:r>
          </w:p>
        </w:tc>
        <w:tc>
          <w:tcPr>
            <w:tcW w:w="1280" w:type="dxa"/>
            <w:vAlign w:val="bottom"/>
            <w:tcBorders>
              <w:bottom w:val="single" w:sz="8" w:color="auto"/>
            </w:tcBorders>
          </w:tcPr>
          <w:p>
            <w:pPr>
              <w:spacing w:after="0"/>
              <w:rPr>
                <w:sz w:val="20"/>
                <w:szCs w:val="20"/>
                <w:color w:val="auto"/>
              </w:rPr>
            </w:pP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As Reported (a)</w:t>
            </w:r>
          </w:p>
        </w:tc>
        <w:tc>
          <w:tcPr>
            <w:tcW w:w="1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0"/>
              </w:rPr>
              <w:t>Realignment (1)</w:t>
            </w:r>
          </w:p>
        </w:tc>
        <w:tc>
          <w:tcPr>
            <w:tcW w:w="2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9"/>
              </w:rPr>
              <w:t>Other Items</w:t>
            </w:r>
          </w:p>
        </w:tc>
        <w:tc>
          <w:tcPr>
            <w:tcW w:w="2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3"/>
              </w:rPr>
              <w:t>As Adjusted</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985,308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985,308</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295,395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(6,661)</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302,056</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30.0%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30.7%</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(202,722)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(3,092)</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(6,712)</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(3)</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(192,918)</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95,300</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(9,753)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(6,712)</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111,765</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9.7%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11.3%</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(34,917)</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(16,037)</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(4)</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(18,880)</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60,383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(9,753)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(22,749)</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92,885</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0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(767)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2,414</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(2)</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16,324</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(5)</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(19,505)</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1.3%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24.8%</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i w:val="1"/>
                <w:iCs w:val="1"/>
                <w:color w:val="auto"/>
              </w:rPr>
              <w:t>71.8%</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21.0%</w:t>
            </w:r>
          </w:p>
        </w:tc>
      </w:tr>
      <w:tr>
        <w:trPr>
          <w:trHeight w:val="486"/>
        </w:trPr>
        <w:tc>
          <w:tcPr>
            <w:tcW w:w="48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b w:val="1"/>
                <w:bCs w:val="1"/>
                <w:color w:val="auto"/>
              </w:rPr>
              <w:t>56,051</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(7,339)</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(6,425)</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b w:val="1"/>
                <w:bCs w:val="1"/>
                <w:color w:val="auto"/>
              </w:rPr>
              <w:t>69,815</w:t>
            </w:r>
          </w:p>
        </w:tc>
      </w:tr>
      <w:tr>
        <w:trPr>
          <w:trHeight w:val="472"/>
        </w:trPr>
        <w:tc>
          <w:tcPr>
            <w:tcW w:w="4820" w:type="dxa"/>
            <w:vAlign w:val="bottom"/>
          </w:tcPr>
          <w:p>
            <w:pPr>
              <w:spacing w:after="0"/>
              <w:rPr>
                <w:sz w:val="20"/>
                <w:szCs w:val="20"/>
                <w:color w:val="auto"/>
              </w:rPr>
            </w:pPr>
            <w:r>
              <w:rPr>
                <w:rFonts w:ascii="Arial" w:cs="Arial" w:eastAsia="Arial" w:hAnsi="Arial"/>
                <w:sz w:val="18"/>
                <w:szCs w:val="18"/>
                <w:color w:val="auto"/>
                <w:w w:val="99"/>
              </w:rPr>
              <w:t>Net earnings per share attributable to Flowserve Corporation</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230"/>
        </w:trPr>
        <w:tc>
          <w:tcPr>
            <w:tcW w:w="48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0.43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(0.06)</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(0.05)</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0.54</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(0.06)</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(0.04)</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0.53</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130,343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130,343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130,343</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130,343</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130,995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130,995</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130,995</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130,995</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Flowserve 2.0 transformation efforts.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 and $13.2 million benefit related to legal entity simplification and restructuring.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814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140" w:type="dxa"/>
            <w:vAlign w:val="bottom"/>
            <w:tcBorders>
              <w:bottom w:val="single" w:sz="8" w:color="auto"/>
            </w:tcBorders>
          </w:tcPr>
          <w:p>
            <w:pPr>
              <w:spacing w:after="0"/>
              <w:rPr>
                <w:sz w:val="21"/>
                <w:szCs w:val="21"/>
                <w:color w:val="auto"/>
              </w:rPr>
            </w:pPr>
          </w:p>
        </w:tc>
        <w:tc>
          <w:tcPr>
            <w:tcW w:w="2960" w:type="dxa"/>
            <w:vAlign w:val="bottom"/>
            <w:tcBorders>
              <w:bottom w:val="single" w:sz="8" w:color="auto"/>
            </w:tcBorders>
            <w:gridSpan w:val="4"/>
          </w:tcPr>
          <w:p>
            <w:pPr>
              <w:jc w:val="right"/>
              <w:ind w:right="110"/>
              <w:spacing w:after="0"/>
              <w:rPr>
                <w:sz w:val="20"/>
                <w:szCs w:val="20"/>
                <w:color w:val="auto"/>
              </w:rPr>
            </w:pPr>
            <w:r>
              <w:rPr>
                <w:rFonts w:ascii="Arial" w:cs="Arial" w:eastAsia="Arial" w:hAnsi="Arial"/>
                <w:sz w:val="18"/>
                <w:szCs w:val="18"/>
                <w:b w:val="1"/>
                <w:bCs w:val="1"/>
                <w:color w:val="auto"/>
                <w:w w:val="91"/>
              </w:rPr>
              <w:t>Three Months Ended December 31,</w:t>
            </w:r>
          </w:p>
        </w:tc>
      </w:tr>
      <w:tr>
        <w:trPr>
          <w:trHeight w:val="236"/>
        </w:trPr>
        <w:tc>
          <w:tcPr>
            <w:tcW w:w="814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r>
      <w:tr>
        <w:trPr>
          <w:trHeight w:val="224"/>
        </w:trPr>
        <w:tc>
          <w:tcPr>
            <w:tcW w:w="8140" w:type="dxa"/>
            <w:vAlign w:val="bottom"/>
          </w:tcPr>
          <w:p>
            <w:pPr>
              <w:spacing w:after="0"/>
              <w:rPr>
                <w:sz w:val="20"/>
                <w:szCs w:val="20"/>
                <w:color w:val="auto"/>
              </w:rPr>
            </w:pPr>
            <w:r>
              <w:rPr>
                <w:rFonts w:ascii="Arial" w:cs="Arial" w:eastAsia="Arial" w:hAnsi="Arial"/>
                <w:sz w:val="18"/>
                <w:szCs w:val="18"/>
                <w:color w:val="auto"/>
              </w:rPr>
              <w:t>Bookings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693.5</w:t>
            </w:r>
          </w:p>
        </w:tc>
        <w:tc>
          <w:tcPr>
            <w:tcW w:w="10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566.5</w:t>
            </w:r>
          </w:p>
        </w:tc>
      </w:tr>
      <w:tr>
        <w:trPr>
          <w:trHeight w:val="242"/>
        </w:trPr>
        <w:tc>
          <w:tcPr>
            <w:tcW w:w="8140" w:type="dxa"/>
            <w:vAlign w:val="bottom"/>
          </w:tcPr>
          <w:p>
            <w:pPr>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648.9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695.7</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198.3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207.7</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Gross profit margin</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30.6%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29.9%</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SG&amp;A</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140.9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126.1</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62.5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84.2</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9.6%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12.1%</w:t>
            </w: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814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140" w:type="dxa"/>
            <w:vAlign w:val="bottom"/>
            <w:tcBorders>
              <w:bottom w:val="single" w:sz="8" w:color="auto"/>
            </w:tcBorders>
          </w:tcPr>
          <w:p>
            <w:pPr>
              <w:spacing w:after="0"/>
              <w:rPr>
                <w:sz w:val="21"/>
                <w:szCs w:val="21"/>
                <w:color w:val="auto"/>
              </w:rPr>
            </w:pPr>
          </w:p>
        </w:tc>
        <w:tc>
          <w:tcPr>
            <w:tcW w:w="2960" w:type="dxa"/>
            <w:vAlign w:val="bottom"/>
            <w:tcBorders>
              <w:bottom w:val="single" w:sz="8" w:color="auto"/>
            </w:tcBorders>
            <w:gridSpan w:val="4"/>
          </w:tcPr>
          <w:p>
            <w:pPr>
              <w:jc w:val="right"/>
              <w:ind w:right="110"/>
              <w:spacing w:after="0"/>
              <w:rPr>
                <w:sz w:val="20"/>
                <w:szCs w:val="20"/>
                <w:color w:val="auto"/>
              </w:rPr>
            </w:pPr>
            <w:r>
              <w:rPr>
                <w:rFonts w:ascii="Arial" w:cs="Arial" w:eastAsia="Arial" w:hAnsi="Arial"/>
                <w:sz w:val="18"/>
                <w:szCs w:val="18"/>
                <w:b w:val="1"/>
                <w:bCs w:val="1"/>
                <w:color w:val="auto"/>
                <w:w w:val="91"/>
              </w:rPr>
              <w:t>Three Months Ended December 31,</w:t>
            </w:r>
          </w:p>
        </w:tc>
      </w:tr>
      <w:tr>
        <w:trPr>
          <w:trHeight w:val="237"/>
        </w:trPr>
        <w:tc>
          <w:tcPr>
            <w:tcW w:w="814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r>
      <w:tr>
        <w:trPr>
          <w:trHeight w:val="224"/>
        </w:trPr>
        <w:tc>
          <w:tcPr>
            <w:tcW w:w="8140" w:type="dxa"/>
            <w:vAlign w:val="bottom"/>
          </w:tcPr>
          <w:p>
            <w:pPr>
              <w:spacing w:after="0"/>
              <w:rPr>
                <w:sz w:val="20"/>
                <w:szCs w:val="20"/>
                <w:color w:val="auto"/>
              </w:rPr>
            </w:pPr>
            <w:r>
              <w:rPr>
                <w:rFonts w:ascii="Arial" w:cs="Arial" w:eastAsia="Arial" w:hAnsi="Arial"/>
                <w:sz w:val="18"/>
                <w:szCs w:val="18"/>
                <w:color w:val="auto"/>
              </w:rPr>
              <w:t>Bookings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278.8</w:t>
            </w:r>
          </w:p>
        </w:tc>
        <w:tc>
          <w:tcPr>
            <w:tcW w:w="10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258.4</w:t>
            </w:r>
          </w:p>
        </w:tc>
      </w:tr>
      <w:tr>
        <w:trPr>
          <w:trHeight w:val="242"/>
        </w:trPr>
        <w:tc>
          <w:tcPr>
            <w:tcW w:w="8140" w:type="dxa"/>
            <w:vAlign w:val="bottom"/>
          </w:tcPr>
          <w:p>
            <w:pPr>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272.8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290.7</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80.3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92.8</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Gross profit margin</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29.4%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31.9%</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SG&amp;A</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50.3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41.4</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4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30.0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51.4</w:t>
            </w:r>
          </w:p>
        </w:tc>
      </w:tr>
      <w:tr>
        <w:trPr>
          <w:trHeight w:val="243"/>
        </w:trPr>
        <w:tc>
          <w:tcPr>
            <w:tcW w:w="814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17.7%</w:t>
            </w:r>
          </w:p>
        </w:tc>
      </w:tr>
      <w:tr>
        <w:trPr>
          <w:trHeight w:val="196"/>
        </w:trPr>
        <w:tc>
          <w:tcPr>
            <w:tcW w:w="8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135" w:right="339" w:bottom="144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40" w:type="dxa"/>
            <w:vAlign w:val="bottom"/>
          </w:tcPr>
          <w:p>
            <w:pPr>
              <w:spacing w:after="0"/>
              <w:rPr>
                <w:sz w:val="20"/>
                <w:szCs w:val="20"/>
                <w:color w:val="auto"/>
              </w:rPr>
            </w:pPr>
            <w:r>
              <w:rPr>
                <w:rFonts w:ascii="Arial" w:cs="Arial" w:eastAsia="Arial" w:hAnsi="Arial"/>
                <w:sz w:val="18"/>
                <w:szCs w:val="18"/>
                <w:b w:val="1"/>
                <w:bCs w:val="1"/>
                <w:color w:val="auto"/>
              </w:rPr>
              <w:t>CONSOLIDATED STATEMENTS OF INCOME</w:t>
            </w: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3"/>
        </w:trPr>
        <w:tc>
          <w:tcPr>
            <w:tcW w:w="664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2020</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2019</w:t>
            </w:r>
          </w:p>
        </w:tc>
        <w:tc>
          <w:tcPr>
            <w:tcW w:w="0" w:type="dxa"/>
            <w:vAlign w:val="bottom"/>
          </w:tcPr>
          <w:p>
            <w:pPr>
              <w:spacing w:after="0"/>
              <w:rPr>
                <w:sz w:val="1"/>
                <w:szCs w:val="1"/>
                <w:color w:val="auto"/>
              </w:rPr>
            </w:pPr>
          </w:p>
        </w:tc>
      </w:tr>
      <w:tr>
        <w:trPr>
          <w:trHeight w:val="466"/>
        </w:trPr>
        <w:tc>
          <w:tcPr>
            <w:tcW w:w="6640" w:type="dxa"/>
            <w:vAlign w:val="bottom"/>
          </w:tcPr>
          <w:p>
            <w:pPr>
              <w:spacing w:after="0"/>
              <w:rPr>
                <w:sz w:val="20"/>
                <w:szCs w:val="20"/>
                <w:color w:val="auto"/>
              </w:rPr>
            </w:pPr>
            <w:r>
              <w:rPr>
                <w:rFonts w:ascii="Arial" w:cs="Arial" w:eastAsia="Arial" w:hAnsi="Arial"/>
                <w:sz w:val="18"/>
                <w:szCs w:val="18"/>
                <w:color w:val="auto"/>
              </w:rPr>
              <w:t>Sales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3,541,060</w:t>
            </w:r>
          </w:p>
        </w:tc>
        <w:tc>
          <w:tcPr>
            <w:tcW w:w="4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3,728,134</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3,939,697</w:t>
            </w:r>
          </w:p>
        </w:tc>
        <w:tc>
          <w:tcPr>
            <w:tcW w:w="0" w:type="dxa"/>
            <w:vAlign w:val="bottom"/>
          </w:tcPr>
          <w:p>
            <w:pPr>
              <w:spacing w:after="0"/>
              <w:rPr>
                <w:sz w:val="1"/>
                <w:szCs w:val="1"/>
                <w:color w:val="auto"/>
              </w:rPr>
            </w:pPr>
          </w:p>
        </w:tc>
      </w:tr>
      <w:tr>
        <w:trPr>
          <w:trHeight w:val="257"/>
        </w:trPr>
        <w:tc>
          <w:tcPr>
            <w:tcW w:w="6640" w:type="dxa"/>
            <w:vAlign w:val="bottom"/>
          </w:tcPr>
          <w:p>
            <w:pPr>
              <w:spacing w:after="0"/>
              <w:rPr>
                <w:sz w:val="20"/>
                <w:szCs w:val="20"/>
                <w:color w:val="auto"/>
              </w:rPr>
            </w:pPr>
            <w:r>
              <w:rPr>
                <w:rFonts w:ascii="Arial" w:cs="Arial" w:eastAsia="Arial" w:hAnsi="Arial"/>
                <w:sz w:val="18"/>
                <w:szCs w:val="18"/>
                <w:color w:val="auto"/>
              </w:rPr>
              <w:t>Cost of sales</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(2,491,335)</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(2,611,365)</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(2,650,354)</w:t>
            </w:r>
          </w:p>
        </w:tc>
        <w:tc>
          <w:tcPr>
            <w:tcW w:w="0" w:type="dxa"/>
            <w:vAlign w:val="bottom"/>
          </w:tcPr>
          <w:p>
            <w:pPr>
              <w:spacing w:after="0"/>
              <w:rPr>
                <w:sz w:val="1"/>
                <w:szCs w:val="1"/>
                <w:color w:val="auto"/>
              </w:rPr>
            </w:pPr>
          </w:p>
        </w:tc>
      </w:tr>
      <w:tr>
        <w:trPr>
          <w:trHeight w:val="224"/>
        </w:trPr>
        <w:tc>
          <w:tcPr>
            <w:tcW w:w="6640" w:type="dxa"/>
            <w:vAlign w:val="bottom"/>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1,049,725</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1,116,769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1,289,343</w:t>
            </w:r>
          </w:p>
        </w:tc>
        <w:tc>
          <w:tcPr>
            <w:tcW w:w="0" w:type="dxa"/>
            <w:vAlign w:val="bottom"/>
          </w:tcPr>
          <w:p>
            <w:pPr>
              <w:spacing w:after="0"/>
              <w:rPr>
                <w:sz w:val="1"/>
                <w:szCs w:val="1"/>
                <w:color w:val="auto"/>
              </w:rPr>
            </w:pPr>
          </w:p>
        </w:tc>
      </w:tr>
      <w:tr>
        <w:trPr>
          <w:trHeight w:val="242"/>
        </w:trPr>
        <w:tc>
          <w:tcPr>
            <w:tcW w:w="664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(797,076)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(878,245)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(913,203)</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1,806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664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16,304</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11,753</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10,483</w:t>
            </w:r>
          </w:p>
        </w:tc>
        <w:tc>
          <w:tcPr>
            <w:tcW w:w="0" w:type="dxa"/>
            <w:vAlign w:val="bottom"/>
          </w:tcPr>
          <w:p>
            <w:pPr>
              <w:spacing w:after="0"/>
              <w:rPr>
                <w:sz w:val="1"/>
                <w:szCs w:val="1"/>
                <w:color w:val="auto"/>
              </w:rPr>
            </w:pPr>
          </w:p>
        </w:tc>
      </w:tr>
      <w:tr>
        <w:trPr>
          <w:trHeight w:val="224"/>
        </w:trPr>
        <w:tc>
          <w:tcPr>
            <w:tcW w:w="6640" w:type="dxa"/>
            <w:vAlign w:val="bottom"/>
          </w:tcPr>
          <w:p>
            <w:pPr>
              <w:spacing w:after="0"/>
              <w:rPr>
                <w:sz w:val="20"/>
                <w:szCs w:val="20"/>
                <w:color w:val="auto"/>
              </w:rPr>
            </w:pPr>
            <w:r>
              <w:rPr>
                <w:rFonts w:ascii="Arial" w:cs="Arial" w:eastAsia="Arial" w:hAnsi="Arial"/>
                <w:sz w:val="18"/>
                <w:szCs w:val="18"/>
                <w:color w:val="auto"/>
              </w:rPr>
              <w:t>Operating income</w:t>
            </w:r>
          </w:p>
        </w:tc>
        <w:tc>
          <w:tcPr>
            <w:tcW w:w="34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270,759</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250,277</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386,623</w:t>
            </w:r>
          </w:p>
        </w:tc>
        <w:tc>
          <w:tcPr>
            <w:tcW w:w="0" w:type="dxa"/>
            <w:vAlign w:val="bottom"/>
          </w:tcPr>
          <w:p>
            <w:pPr>
              <w:spacing w:after="0"/>
              <w:rPr>
                <w:sz w:val="1"/>
                <w:szCs w:val="1"/>
                <w:color w:val="auto"/>
              </w:rPr>
            </w:pPr>
          </w:p>
        </w:tc>
      </w:tr>
      <w:tr>
        <w:trPr>
          <w:trHeight w:val="242"/>
        </w:trPr>
        <w:tc>
          <w:tcPr>
            <w:tcW w:w="664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(57,617)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(56,185)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(54,980)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Loss on extinguishment of debt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(46,176)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(1,201)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2,764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4,175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8,409</w:t>
            </w:r>
          </w:p>
        </w:tc>
        <w:tc>
          <w:tcPr>
            <w:tcW w:w="0" w:type="dxa"/>
            <w:vAlign w:val="bottom"/>
          </w:tcPr>
          <w:p>
            <w:pPr>
              <w:spacing w:after="0"/>
              <w:rPr>
                <w:sz w:val="1"/>
                <w:szCs w:val="1"/>
                <w:color w:val="auto"/>
              </w:rPr>
            </w:pPr>
          </w:p>
        </w:tc>
      </w:tr>
      <w:tr>
        <w:trPr>
          <w:trHeight w:val="256"/>
        </w:trPr>
        <w:tc>
          <w:tcPr>
            <w:tcW w:w="664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(36,142)</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5,226</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(17,619)</w:t>
            </w:r>
          </w:p>
        </w:tc>
        <w:tc>
          <w:tcPr>
            <w:tcW w:w="0" w:type="dxa"/>
            <w:vAlign w:val="bottom"/>
          </w:tcPr>
          <w:p>
            <w:pPr>
              <w:spacing w:after="0"/>
              <w:rPr>
                <w:sz w:val="1"/>
                <w:szCs w:val="1"/>
                <w:color w:val="auto"/>
              </w:rPr>
            </w:pPr>
          </w:p>
        </w:tc>
      </w:tr>
      <w:tr>
        <w:trPr>
          <w:trHeight w:val="224"/>
        </w:trPr>
        <w:tc>
          <w:tcPr>
            <w:tcW w:w="664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34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133,588</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202,292</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322,433</w:t>
            </w:r>
          </w:p>
        </w:tc>
        <w:tc>
          <w:tcPr>
            <w:tcW w:w="0" w:type="dxa"/>
            <w:vAlign w:val="bottom"/>
          </w:tcPr>
          <w:p>
            <w:pPr>
              <w:spacing w:after="0"/>
              <w:rPr>
                <w:sz w:val="1"/>
                <w:szCs w:val="1"/>
                <w:color w:val="auto"/>
              </w:rPr>
            </w:pPr>
          </w:p>
        </w:tc>
      </w:tr>
      <w:tr>
        <w:trPr>
          <w:trHeight w:val="256"/>
        </w:trPr>
        <w:tc>
          <w:tcPr>
            <w:tcW w:w="664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2,594</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(61,417)</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(75,493)</w:t>
            </w:r>
          </w:p>
        </w:tc>
        <w:tc>
          <w:tcPr>
            <w:tcW w:w="0" w:type="dxa"/>
            <w:vAlign w:val="bottom"/>
          </w:tcPr>
          <w:p>
            <w:pPr>
              <w:spacing w:after="0"/>
              <w:rPr>
                <w:sz w:val="1"/>
                <w:szCs w:val="1"/>
                <w:color w:val="auto"/>
              </w:rPr>
            </w:pPr>
          </w:p>
        </w:tc>
      </w:tr>
      <w:tr>
        <w:trPr>
          <w:trHeight w:val="224"/>
        </w:trPr>
        <w:tc>
          <w:tcPr>
            <w:tcW w:w="664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34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136,182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140,875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246,940</w:t>
            </w:r>
          </w:p>
        </w:tc>
        <w:tc>
          <w:tcPr>
            <w:tcW w:w="0" w:type="dxa"/>
            <w:vAlign w:val="bottom"/>
          </w:tcPr>
          <w:p>
            <w:pPr>
              <w:spacing w:after="0"/>
              <w:rPr>
                <w:sz w:val="1"/>
                <w:szCs w:val="1"/>
                <w:color w:val="auto"/>
              </w:rPr>
            </w:pPr>
          </w:p>
        </w:tc>
      </w:tr>
      <w:tr>
        <w:trPr>
          <w:trHeight w:val="256"/>
        </w:trPr>
        <w:tc>
          <w:tcPr>
            <w:tcW w:w="664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(10,233)</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(10,455)</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(8,112)</w:t>
            </w:r>
          </w:p>
        </w:tc>
        <w:tc>
          <w:tcPr>
            <w:tcW w:w="0" w:type="dxa"/>
            <w:vAlign w:val="bottom"/>
          </w:tcPr>
          <w:p>
            <w:pPr>
              <w:spacing w:after="0"/>
              <w:rPr>
                <w:sz w:val="1"/>
                <w:szCs w:val="1"/>
                <w:color w:val="auto"/>
              </w:rPr>
            </w:pPr>
          </w:p>
        </w:tc>
      </w:tr>
      <w:tr>
        <w:trPr>
          <w:trHeight w:val="237"/>
        </w:trPr>
        <w:tc>
          <w:tcPr>
            <w:tcW w:w="664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125,949</w:t>
            </w:r>
          </w:p>
        </w:tc>
        <w:tc>
          <w:tcPr>
            <w:tcW w:w="120" w:type="dxa"/>
            <w:vAlign w:val="bottom"/>
          </w:tcPr>
          <w:p>
            <w:pPr>
              <w:spacing w:after="0"/>
              <w:rPr>
                <w:sz w:val="20"/>
                <w:szCs w:val="20"/>
                <w:color w:val="auto"/>
              </w:rPr>
            </w:pPr>
          </w:p>
        </w:tc>
        <w:tc>
          <w:tcPr>
            <w:tcW w:w="3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130,420</w:t>
            </w:r>
          </w:p>
        </w:tc>
        <w:tc>
          <w:tcPr>
            <w:tcW w:w="120" w:type="dxa"/>
            <w:vAlign w:val="bottom"/>
          </w:tcPr>
          <w:p>
            <w:pPr>
              <w:spacing w:after="0"/>
              <w:rPr>
                <w:sz w:val="20"/>
                <w:szCs w:val="20"/>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238,828</w:t>
            </w:r>
          </w:p>
        </w:tc>
        <w:tc>
          <w:tcPr>
            <w:tcW w:w="0" w:type="dxa"/>
            <w:vAlign w:val="bottom"/>
          </w:tcPr>
          <w:p>
            <w:pPr>
              <w:spacing w:after="0"/>
              <w:rPr>
                <w:sz w:val="1"/>
                <w:szCs w:val="1"/>
                <w:color w:val="auto"/>
              </w:rPr>
            </w:pPr>
          </w:p>
        </w:tc>
      </w:tr>
      <w:tr>
        <w:trPr>
          <w:trHeight w:val="20"/>
        </w:trPr>
        <w:tc>
          <w:tcPr>
            <w:tcW w:w="6640" w:type="dxa"/>
            <w:vAlign w:val="bottom"/>
            <w:vMerge w:val="restart"/>
          </w:tcPr>
          <w:p>
            <w:pPr>
              <w:spacing w:after="0"/>
              <w:rPr>
                <w:sz w:val="20"/>
                <w:szCs w:val="20"/>
                <w:color w:val="auto"/>
              </w:rPr>
            </w:pPr>
            <w:r>
              <w:rPr>
                <w:rFonts w:ascii="Arial" w:cs="Arial" w:eastAsia="Arial" w:hAnsi="Arial"/>
                <w:sz w:val="18"/>
                <w:szCs w:val="18"/>
                <w:color w:val="auto"/>
                <w:w w:val="98"/>
              </w:rPr>
              <w:t>Net earnings per share attributable to Flowserve Corporation common shareholders:</w:t>
            </w: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64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Basic</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0.97</w:t>
            </w:r>
          </w:p>
        </w:tc>
        <w:tc>
          <w:tcPr>
            <w:tcW w:w="4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1.00</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Diluted</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0.96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1.81</w:t>
            </w:r>
          </w:p>
        </w:tc>
        <w:tc>
          <w:tcPr>
            <w:tcW w:w="0" w:type="dxa"/>
            <w:vAlign w:val="bottom"/>
          </w:tcPr>
          <w:p>
            <w:pPr>
              <w:spacing w:after="0"/>
              <w:rPr>
                <w:sz w:val="1"/>
                <w:szCs w:val="1"/>
                <w:color w:val="auto"/>
              </w:rPr>
            </w:pPr>
          </w:p>
        </w:tc>
      </w:tr>
      <w:tr>
        <w:trPr>
          <w:trHeight w:val="196"/>
        </w:trPr>
        <w:tc>
          <w:tcPr>
            <w:tcW w:w="664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8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60" w:type="dxa"/>
            <w:vAlign w:val="bottom"/>
            <w:tcBorders>
              <w:bottom w:val="single" w:sz="8" w:color="auto"/>
            </w:tcBorders>
            <w:gridSpan w:val="4"/>
          </w:tcPr>
          <w:p>
            <w:pPr>
              <w:jc w:val="right"/>
              <w:ind w:right="250"/>
              <w:spacing w:after="0"/>
              <w:rPr>
                <w:sz w:val="20"/>
                <w:szCs w:val="20"/>
                <w:color w:val="auto"/>
              </w:rPr>
            </w:pPr>
            <w:r>
              <w:rPr>
                <w:rFonts w:ascii="Arial" w:cs="Arial" w:eastAsia="Arial" w:hAnsi="Arial"/>
                <w:sz w:val="18"/>
                <w:szCs w:val="18"/>
                <w:b w:val="1"/>
                <w:bCs w:val="1"/>
                <w:color w:val="auto"/>
              </w:rPr>
              <w:t>Year Ended December 31, 2021</w:t>
            </w:r>
          </w:p>
        </w:tc>
        <w:tc>
          <w:tcPr>
            <w:tcW w:w="2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1"/>
              </w:rPr>
              <w:t>As Reported (a)</w:t>
            </w:r>
          </w:p>
        </w:tc>
        <w:tc>
          <w:tcPr>
            <w:tcW w:w="1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2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7"/>
              </w:rPr>
              <w:t>Other Items</w:t>
            </w:r>
          </w:p>
        </w:tc>
        <w:tc>
          <w:tcPr>
            <w:tcW w:w="2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3"/>
              </w:rPr>
              <w:t>As Adjusted</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3,541,060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3,541,060</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1,049,725</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(16,844)</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1,066,568</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29.6%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30.1%</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(797,076)</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(5,646)</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(791,431)</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(3)</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56"/>
        </w:trPr>
        <w:tc>
          <w:tcPr>
            <w:tcW w:w="482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0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16,304</w:t>
            </w: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16,304</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270,759</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(22,490)</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1,806</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291,441</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7.6%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8.2%</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(137,171)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(75,188)</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(4)</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(61,982)</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133,588</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(22,490)</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(73,382)</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229,459</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(Provision for) benefit from income taxes</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2,594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7,070</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(2)</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33,522</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(5)</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(37,997)</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-1.9%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31.4%</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45.7%</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16.6%</w:t>
            </w:r>
          </w:p>
        </w:tc>
      </w:tr>
      <w:tr>
        <w:trPr>
          <w:trHeight w:val="486"/>
        </w:trPr>
        <w:tc>
          <w:tcPr>
            <w:tcW w:w="48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b w:val="1"/>
                <w:bCs w:val="1"/>
                <w:color w:val="auto"/>
              </w:rPr>
              <w:t>125,949</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(15,420)</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10"/>
              <w:spacing w:after="0"/>
              <w:rPr>
                <w:sz w:val="20"/>
                <w:szCs w:val="20"/>
                <w:color w:val="auto"/>
              </w:rPr>
            </w:pPr>
            <w:r>
              <w:rPr>
                <w:rFonts w:ascii="Arial" w:cs="Arial" w:eastAsia="Arial" w:hAnsi="Arial"/>
                <w:sz w:val="18"/>
                <w:szCs w:val="18"/>
                <w:b w:val="1"/>
                <w:bCs w:val="1"/>
                <w:color w:val="auto"/>
              </w:rPr>
              <w:t>(39,860)</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b w:val="1"/>
                <w:bCs w:val="1"/>
                <w:color w:val="auto"/>
              </w:rPr>
              <w:t>181,229</w:t>
            </w:r>
          </w:p>
        </w:tc>
      </w:tr>
      <w:tr>
        <w:trPr>
          <w:trHeight w:val="472"/>
        </w:trPr>
        <w:tc>
          <w:tcPr>
            <w:tcW w:w="4820" w:type="dxa"/>
            <w:vAlign w:val="bottom"/>
          </w:tcPr>
          <w:p>
            <w:pPr>
              <w:spacing w:after="0"/>
              <w:rPr>
                <w:sz w:val="20"/>
                <w:szCs w:val="20"/>
                <w:color w:val="auto"/>
              </w:rPr>
            </w:pPr>
            <w:r>
              <w:rPr>
                <w:rFonts w:ascii="Arial" w:cs="Arial" w:eastAsia="Arial" w:hAnsi="Arial"/>
                <w:sz w:val="18"/>
                <w:szCs w:val="18"/>
                <w:color w:val="auto"/>
                <w:w w:val="99"/>
              </w:rPr>
              <w:t>Net earnings per share attributable to Flowserve Corporation</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230"/>
        </w:trPr>
        <w:tc>
          <w:tcPr>
            <w:tcW w:w="48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0.97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(0.12)</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(0.30)</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1.39</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0.96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(0.12)</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(0.30)</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1.38</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130,305</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130,305</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130,305</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130,305</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130,857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130,857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130,857</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130,857</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 and realignment related tax release.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final settlement gain on sale of business in 2018.</w:t>
      </w:r>
    </w:p>
    <w:p>
      <w:pPr>
        <w:spacing w:after="0" w:line="36" w:lineRule="exact"/>
        <w:rPr>
          <w:rFonts w:ascii="Arial" w:cs="Arial" w:eastAsia="Arial" w:hAnsi="Arial"/>
          <w:sz w:val="18"/>
          <w:szCs w:val="18"/>
          <w:color w:val="auto"/>
        </w:rPr>
      </w:pPr>
    </w:p>
    <w:p>
      <w:pPr>
        <w:ind w:left="420" w:right="580" w:hanging="7"/>
        <w:spacing w:after="0" w:line="266" w:lineRule="auto"/>
        <w:tabs>
          <w:tab w:leader="none" w:pos="675"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below-the-line foreign exchange impacts and $47.7 million of expense as a result of early extinguishment of debt and duplicate interest expense.</w:t>
      </w: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 and $17.9 million benefit related to legal entity restructuring of foreign holding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8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60" w:type="dxa"/>
            <w:vAlign w:val="bottom"/>
            <w:tcBorders>
              <w:bottom w:val="single" w:sz="8" w:color="auto"/>
            </w:tcBorders>
            <w:gridSpan w:val="4"/>
          </w:tcPr>
          <w:p>
            <w:pPr>
              <w:jc w:val="right"/>
              <w:ind w:right="250"/>
              <w:spacing w:after="0"/>
              <w:rPr>
                <w:sz w:val="20"/>
                <w:szCs w:val="20"/>
                <w:color w:val="auto"/>
              </w:rPr>
            </w:pPr>
            <w:r>
              <w:rPr>
                <w:rFonts w:ascii="Arial" w:cs="Arial" w:eastAsia="Arial" w:hAnsi="Arial"/>
                <w:sz w:val="18"/>
                <w:szCs w:val="18"/>
                <w:b w:val="1"/>
                <w:bCs w:val="1"/>
                <w:color w:val="auto"/>
              </w:rPr>
              <w:t>Year Ended December 31, 2020</w:t>
            </w:r>
          </w:p>
        </w:tc>
        <w:tc>
          <w:tcPr>
            <w:tcW w:w="2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1"/>
              </w:rPr>
              <w:t>As Reported (a)</w:t>
            </w:r>
          </w:p>
        </w:tc>
        <w:tc>
          <w:tcPr>
            <w:tcW w:w="1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0"/>
              </w:rPr>
              <w:t>Realignment (1)</w:t>
            </w:r>
          </w:p>
        </w:tc>
        <w:tc>
          <w:tcPr>
            <w:tcW w:w="2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7"/>
              </w:rPr>
              <w:t>Other Items</w:t>
            </w:r>
          </w:p>
        </w:tc>
        <w:tc>
          <w:tcPr>
            <w:tcW w:w="2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3"/>
              </w:rPr>
              <w:t>As Adjusted</w:t>
            </w:r>
          </w:p>
        </w:tc>
      </w:tr>
      <w:tr>
        <w:trPr>
          <w:trHeight w:val="466"/>
        </w:trPr>
        <w:tc>
          <w:tcPr>
            <w:tcW w:w="4820" w:type="dxa"/>
            <w:vAlign w:val="bottom"/>
          </w:tcPr>
          <w:p>
            <w:pPr>
              <w:spacing w:after="0"/>
              <w:rPr>
                <w:sz w:val="20"/>
                <w:szCs w:val="20"/>
                <w:color w:val="auto"/>
              </w:rPr>
            </w:pPr>
            <w:r>
              <w:rPr>
                <w:rFonts w:ascii="Arial" w:cs="Arial" w:eastAsia="Arial" w:hAnsi="Arial"/>
                <w:sz w:val="18"/>
                <w:szCs w:val="18"/>
                <w:color w:val="auto"/>
              </w:rPr>
              <w:t>Sales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3,728,134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3,728,134</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1,116,769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(47,297)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1,164,066</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30.0%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31.2%</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(878,245)</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(34,773)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(34,269)</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(3)</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(809,203)</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Operating income</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250,277</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(82,070)</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(34,269)</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366,616</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6.7%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i w:val="1"/>
                <w:iCs w:val="1"/>
                <w:color w:val="auto"/>
              </w:rPr>
              <w:t>-</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9.8%</w:t>
            </w:r>
          </w:p>
        </w:tc>
      </w:tr>
      <w:tr>
        <w:trPr>
          <w:trHeight w:val="486"/>
        </w:trPr>
        <w:tc>
          <w:tcPr>
            <w:tcW w:w="482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100" w:type="dxa"/>
            <w:vAlign w:val="bottom"/>
          </w:tcPr>
          <w:p>
            <w:pPr>
              <w:spacing w:after="0"/>
              <w:rPr>
                <w:sz w:val="24"/>
                <w:szCs w:val="24"/>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(47,985)</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9,626</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(4)</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(57,611)</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202,292</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(82,070)</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(24,643)</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309,005</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0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(61,417)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12,560</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w w:val="90"/>
              </w:rPr>
              <w:t>(2)</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(2,814)</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w w:val="81"/>
              </w:rPr>
              <w:t>(5)</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(71,163)</w:t>
            </w:r>
          </w:p>
        </w:tc>
      </w:tr>
      <w:tr>
        <w:trPr>
          <w:trHeight w:val="243"/>
        </w:trPr>
        <w:tc>
          <w:tcPr>
            <w:tcW w:w="482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10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30.4%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15.3%</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-11.4%</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23.0%</w:t>
            </w:r>
          </w:p>
        </w:tc>
      </w:tr>
      <w:tr>
        <w:trPr>
          <w:trHeight w:val="486"/>
        </w:trPr>
        <w:tc>
          <w:tcPr>
            <w:tcW w:w="482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b w:val="1"/>
                <w:bCs w:val="1"/>
                <w:color w:val="auto"/>
              </w:rPr>
              <w:t>130,420</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b w:val="1"/>
                <w:bCs w:val="1"/>
                <w:color w:val="auto"/>
              </w:rPr>
              <w:t>(69,510)</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10"/>
              <w:spacing w:after="0"/>
              <w:rPr>
                <w:sz w:val="20"/>
                <w:szCs w:val="20"/>
                <w:color w:val="auto"/>
              </w:rPr>
            </w:pPr>
            <w:r>
              <w:rPr>
                <w:rFonts w:ascii="Arial" w:cs="Arial" w:eastAsia="Arial" w:hAnsi="Arial"/>
                <w:sz w:val="18"/>
                <w:szCs w:val="18"/>
                <w:b w:val="1"/>
                <w:bCs w:val="1"/>
                <w:color w:val="auto"/>
              </w:rPr>
              <w:t>(27,457)</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b w:val="1"/>
                <w:bCs w:val="1"/>
                <w:color w:val="auto"/>
              </w:rPr>
              <w:t>227,387</w:t>
            </w:r>
          </w:p>
        </w:tc>
      </w:tr>
      <w:tr>
        <w:trPr>
          <w:trHeight w:val="472"/>
        </w:trPr>
        <w:tc>
          <w:tcPr>
            <w:tcW w:w="4820" w:type="dxa"/>
            <w:vAlign w:val="bottom"/>
          </w:tcPr>
          <w:p>
            <w:pPr>
              <w:spacing w:after="0"/>
              <w:rPr>
                <w:sz w:val="20"/>
                <w:szCs w:val="20"/>
                <w:color w:val="auto"/>
              </w:rPr>
            </w:pPr>
            <w:r>
              <w:rPr>
                <w:rFonts w:ascii="Arial" w:cs="Arial" w:eastAsia="Arial" w:hAnsi="Arial"/>
                <w:sz w:val="18"/>
                <w:szCs w:val="18"/>
                <w:color w:val="auto"/>
                <w:w w:val="99"/>
              </w:rPr>
              <w:t>Net earnings per share attributable to Flowserve Corporation</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230"/>
        </w:trPr>
        <w:tc>
          <w:tcPr>
            <w:tcW w:w="4820" w:type="dxa"/>
            <w:vAlign w:val="bottom"/>
          </w:tcPr>
          <w:p>
            <w:pPr>
              <w:spacing w:after="0"/>
              <w:rPr>
                <w:sz w:val="20"/>
                <w:szCs w:val="20"/>
                <w:color w:val="auto"/>
              </w:rPr>
            </w:pPr>
            <w:r>
              <w:rPr>
                <w:rFonts w:ascii="Arial" w:cs="Arial" w:eastAsia="Arial" w:hAnsi="Arial"/>
                <w:sz w:val="18"/>
                <w:szCs w:val="18"/>
                <w:color w:val="auto"/>
              </w:rPr>
              <w:t>common shareholders: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1.00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(0.53)</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(0.21)</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1.74</w:t>
            </w:r>
          </w:p>
        </w:tc>
      </w:tr>
      <w:tr>
        <w:trPr>
          <w:trHeight w:val="243"/>
        </w:trPr>
        <w:tc>
          <w:tcPr>
            <w:tcW w:w="4820" w:type="dxa"/>
            <w:vAlign w:val="bottom"/>
          </w:tcPr>
          <w:p>
            <w:pPr>
              <w:ind w:left="2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(0.53)</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(0.21)</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1.74</w:t>
            </w:r>
          </w:p>
        </w:tc>
      </w:tr>
      <w:tr>
        <w:trPr>
          <w:trHeight w:val="486"/>
        </w:trPr>
        <w:tc>
          <w:tcPr>
            <w:tcW w:w="482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100" w:type="dxa"/>
            <w:vAlign w:val="bottom"/>
          </w:tcPr>
          <w:p>
            <w:pPr>
              <w:spacing w:after="0"/>
              <w:rPr>
                <w:sz w:val="24"/>
                <w:szCs w:val="24"/>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130,395</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130,395</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130,395</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130,395</w:t>
            </w:r>
          </w:p>
        </w:tc>
      </w:tr>
      <w:tr>
        <w:trPr>
          <w:trHeight w:val="243"/>
        </w:trPr>
        <w:tc>
          <w:tcPr>
            <w:tcW w:w="482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100" w:type="dxa"/>
            <w:vAlign w:val="bottom"/>
          </w:tcPr>
          <w:p>
            <w:pPr>
              <w:spacing w:after="0"/>
              <w:rPr>
                <w:sz w:val="21"/>
                <w:szCs w:val="21"/>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131,050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jc w:val="right"/>
              <w:ind w:right="70"/>
              <w:spacing w:after="0"/>
              <w:rPr>
                <w:sz w:val="20"/>
                <w:szCs w:val="20"/>
                <w:color w:val="auto"/>
              </w:rPr>
            </w:pPr>
            <w:r>
              <w:rPr>
                <w:rFonts w:ascii="Arial" w:cs="Arial" w:eastAsia="Arial" w:hAnsi="Arial"/>
                <w:sz w:val="18"/>
                <w:szCs w:val="18"/>
                <w:color w:val="auto"/>
              </w:rPr>
              <w:t>131,050</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131,050</w:t>
            </w:r>
          </w:p>
        </w:tc>
        <w:tc>
          <w:tcPr>
            <w:tcW w:w="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131,050</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$22.7 million related to Flowserve 2.0 transformation efforts and $11.5 million related to discrete asset write-downs.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20" w:right="580" w:hanging="7"/>
        <w:spacing w:after="0" w:line="277" w:lineRule="auto"/>
        <w:tabs>
          <w:tab w:leader="none" w:pos="675"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 $25.4 million related to Italian tax valuation allowance and $15.6 million benefit related to legal entity simplification and restructuring.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652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340" w:type="dxa"/>
            <w:vAlign w:val="bottom"/>
            <w:tcBorders>
              <w:bottom w:val="single" w:sz="8" w:color="auto"/>
            </w:tcBorders>
          </w:tcPr>
          <w:p>
            <w:pPr>
              <w:spacing w:after="0"/>
              <w:rPr>
                <w:sz w:val="21"/>
                <w:szCs w:val="21"/>
                <w:color w:val="auto"/>
              </w:rPr>
            </w:pPr>
          </w:p>
        </w:tc>
        <w:tc>
          <w:tcPr>
            <w:tcW w:w="3240" w:type="dxa"/>
            <w:vAlign w:val="bottom"/>
            <w:tcBorders>
              <w:bottom w:val="single" w:sz="8" w:color="auto"/>
            </w:tcBorders>
            <w:gridSpan w:val="6"/>
          </w:tcPr>
          <w:p>
            <w:pPr>
              <w:jc w:val="right"/>
              <w:ind w:right="130"/>
              <w:spacing w:after="0"/>
              <w:rPr>
                <w:sz w:val="20"/>
                <w:szCs w:val="20"/>
                <w:color w:val="auto"/>
              </w:rPr>
            </w:pPr>
            <w:r>
              <w:rPr>
                <w:rFonts w:ascii="Arial" w:cs="Arial" w:eastAsia="Arial" w:hAnsi="Arial"/>
                <w:sz w:val="18"/>
                <w:szCs w:val="18"/>
                <w:b w:val="1"/>
                <w:bCs w:val="1"/>
                <w:color w:val="auto"/>
              </w:rPr>
              <w:t>Year Ended December 31,</w:t>
            </w:r>
          </w:p>
        </w:tc>
        <w:tc>
          <w:tcPr>
            <w:tcW w:w="1140" w:type="dxa"/>
            <w:vAlign w:val="bottom"/>
            <w:tcBorders>
              <w:bottom w:val="single" w:sz="8" w:color="auto"/>
            </w:tcBorders>
          </w:tcPr>
          <w:p>
            <w:pPr>
              <w:spacing w:after="0"/>
              <w:rPr>
                <w:sz w:val="21"/>
                <w:szCs w:val="21"/>
                <w:color w:val="auto"/>
              </w:rPr>
            </w:pPr>
          </w:p>
        </w:tc>
      </w:tr>
      <w:tr>
        <w:trPr>
          <w:trHeight w:val="237"/>
        </w:trPr>
        <w:tc>
          <w:tcPr>
            <w:tcW w:w="652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2019</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Bookings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2,675.7</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2,358.4</w:t>
            </w:r>
          </w:p>
        </w:tc>
        <w:tc>
          <w:tcPr>
            <w:tcW w:w="10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3,007.9</w:t>
            </w:r>
          </w:p>
        </w:tc>
      </w:tr>
      <w:tr>
        <w:trPr>
          <w:trHeight w:val="242"/>
        </w:trPr>
        <w:tc>
          <w:tcPr>
            <w:tcW w:w="6520" w:type="dxa"/>
            <w:vAlign w:val="bottom"/>
          </w:tcPr>
          <w:p>
            <w:pPr>
              <w:spacing w:after="0"/>
              <w:rPr>
                <w:sz w:val="20"/>
                <w:szCs w:val="20"/>
                <w:color w:val="auto"/>
              </w:rPr>
            </w:pPr>
            <w:r>
              <w:rPr>
                <w:rFonts w:ascii="Arial" w:cs="Arial" w:eastAsia="Arial" w:hAnsi="Arial"/>
                <w:sz w:val="18"/>
                <w:szCs w:val="18"/>
                <w:color w:val="auto"/>
              </w:rPr>
              <w:t>Sales</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2,470.8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2,675.7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2,706.3</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760.4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811.4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899.3</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Gross profit margin</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33.2%</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SG&amp;A</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535.6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552.2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566.3</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Gain on sale of business</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243.2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271.0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343.5</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12.7%</w:t>
            </w:r>
          </w:p>
        </w:tc>
      </w:tr>
    </w:tbl>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652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340" w:type="dxa"/>
            <w:vAlign w:val="bottom"/>
            <w:tcBorders>
              <w:bottom w:val="single" w:sz="8" w:color="auto"/>
            </w:tcBorders>
          </w:tcPr>
          <w:p>
            <w:pPr>
              <w:spacing w:after="0"/>
              <w:rPr>
                <w:sz w:val="21"/>
                <w:szCs w:val="21"/>
                <w:color w:val="auto"/>
              </w:rPr>
            </w:pPr>
          </w:p>
        </w:tc>
        <w:tc>
          <w:tcPr>
            <w:tcW w:w="3240" w:type="dxa"/>
            <w:vAlign w:val="bottom"/>
            <w:tcBorders>
              <w:bottom w:val="single" w:sz="8" w:color="auto"/>
            </w:tcBorders>
            <w:gridSpan w:val="6"/>
          </w:tcPr>
          <w:p>
            <w:pPr>
              <w:jc w:val="right"/>
              <w:ind w:right="130"/>
              <w:spacing w:after="0"/>
              <w:rPr>
                <w:sz w:val="20"/>
                <w:szCs w:val="20"/>
                <w:color w:val="auto"/>
              </w:rPr>
            </w:pPr>
            <w:r>
              <w:rPr>
                <w:rFonts w:ascii="Arial" w:cs="Arial" w:eastAsia="Arial" w:hAnsi="Arial"/>
                <w:sz w:val="18"/>
                <w:szCs w:val="18"/>
                <w:b w:val="1"/>
                <w:bCs w:val="1"/>
                <w:color w:val="auto"/>
              </w:rPr>
              <w:t>Year Ended December 31,</w:t>
            </w:r>
          </w:p>
        </w:tc>
        <w:tc>
          <w:tcPr>
            <w:tcW w:w="1140" w:type="dxa"/>
            <w:vAlign w:val="bottom"/>
            <w:tcBorders>
              <w:bottom w:val="single" w:sz="8" w:color="auto"/>
            </w:tcBorders>
          </w:tcPr>
          <w:p>
            <w:pPr>
              <w:spacing w:after="0"/>
              <w:rPr>
                <w:sz w:val="21"/>
                <w:szCs w:val="21"/>
                <w:color w:val="auto"/>
              </w:rPr>
            </w:pPr>
          </w:p>
        </w:tc>
      </w:tr>
      <w:tr>
        <w:trPr>
          <w:trHeight w:val="237"/>
        </w:trPr>
        <w:tc>
          <w:tcPr>
            <w:tcW w:w="652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2019</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Bookings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1,112.8</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1,065.8</w:t>
            </w:r>
          </w:p>
        </w:tc>
        <w:tc>
          <w:tcPr>
            <w:tcW w:w="10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1,240.9</w:t>
            </w:r>
          </w:p>
        </w:tc>
      </w:tr>
      <w:tr>
        <w:trPr>
          <w:trHeight w:val="242"/>
        </w:trPr>
        <w:tc>
          <w:tcPr>
            <w:tcW w:w="6520" w:type="dxa"/>
            <w:vAlign w:val="bottom"/>
          </w:tcPr>
          <w:p>
            <w:pPr>
              <w:spacing w:after="0"/>
              <w:rPr>
                <w:sz w:val="20"/>
                <w:szCs w:val="20"/>
                <w:color w:val="auto"/>
              </w:rPr>
            </w:pPr>
            <w:r>
              <w:rPr>
                <w:rFonts w:ascii="Arial" w:cs="Arial" w:eastAsia="Arial" w:hAnsi="Arial"/>
                <w:sz w:val="18"/>
                <w:szCs w:val="18"/>
                <w:color w:val="auto"/>
              </w:rPr>
              <w:t>Sales</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1,075.9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1,057.5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1,238.9</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316.7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321.9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405.5</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Gross profit margin</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29.4%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32.7%</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SG&amp;A</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197.4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196.3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213.6</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119.7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125.6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191.9</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Segment operating income as a percentage of sales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196"/>
        </w:trPr>
        <w:tc>
          <w:tcPr>
            <w:tcW w:w="65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135" w:right="3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Fourth Quarter and Full Year 2021 -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millions, comparison vs. 2020 fourth quarter and full year, 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55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2"/>
          </w:tcPr>
          <w:p>
            <w:pPr>
              <w:jc w:val="right"/>
              <w:ind w:right="210"/>
              <w:spacing w:after="0"/>
              <w:rPr>
                <w:sz w:val="20"/>
                <w:szCs w:val="20"/>
                <w:color w:val="auto"/>
              </w:rPr>
            </w:pPr>
            <w:r>
              <w:rPr>
                <w:rFonts w:ascii="Arial" w:cs="Arial" w:eastAsia="Arial" w:hAnsi="Arial"/>
                <w:sz w:val="18"/>
                <w:szCs w:val="18"/>
                <w:color w:val="auto"/>
              </w:rPr>
              <w:t>FPD</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gridSpan w:val="2"/>
          </w:tcPr>
          <w:p>
            <w:pPr>
              <w:jc w:val="right"/>
              <w:ind w:right="170"/>
              <w:spacing w:after="0"/>
              <w:rPr>
                <w:sz w:val="20"/>
                <w:szCs w:val="20"/>
                <w:color w:val="auto"/>
              </w:rPr>
            </w:pPr>
            <w:r>
              <w:rPr>
                <w:rFonts w:ascii="Arial" w:cs="Arial" w:eastAsia="Arial" w:hAnsi="Arial"/>
                <w:sz w:val="18"/>
                <w:szCs w:val="18"/>
                <w:color w:val="auto"/>
              </w:rPr>
              <w:t>FCD</w:t>
            </w:r>
          </w:p>
        </w:tc>
        <w:tc>
          <w:tcPr>
            <w:tcW w:w="9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30"/>
        </w:trPr>
        <w:tc>
          <w:tcPr>
            <w:tcW w:w="5520" w:type="dxa"/>
            <w:vAlign w:val="bottom"/>
          </w:tcPr>
          <w:p>
            <w:pPr>
              <w:spacing w:after="0"/>
              <w:rPr>
                <w:sz w:val="20"/>
                <w:szCs w:val="20"/>
                <w:color w:val="auto"/>
              </w:rPr>
            </w:pPr>
            <w:r>
              <w:rPr>
                <w:rFonts w:ascii="Arial" w:cs="Arial" w:eastAsia="Arial" w:hAnsi="Arial"/>
                <w:sz w:val="18"/>
                <w:szCs w:val="18"/>
                <w:color w:val="auto"/>
              </w:rPr>
              <w:t>Bookings</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693.5</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2,675.7</w:t>
            </w:r>
          </w:p>
        </w:tc>
        <w:tc>
          <w:tcPr>
            <w:tcW w:w="100" w:type="dxa"/>
            <w:vAlign w:val="bottom"/>
          </w:tcPr>
          <w:p>
            <w:pPr>
              <w:spacing w:after="0"/>
              <w:rPr>
                <w:sz w:val="20"/>
                <w:szCs w:val="20"/>
                <w:color w:val="auto"/>
              </w:rPr>
            </w:pP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278.8</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1,112.8</w:t>
            </w:r>
          </w:p>
        </w:tc>
        <w:tc>
          <w:tcPr>
            <w:tcW w:w="20" w:type="dxa"/>
            <w:vAlign w:val="bottom"/>
          </w:tcPr>
          <w:p>
            <w:pPr>
              <w:spacing w:after="0"/>
              <w:rPr>
                <w:sz w:val="20"/>
                <w:szCs w:val="20"/>
                <w:color w:val="auto"/>
              </w:rPr>
            </w:pPr>
          </w:p>
        </w:tc>
      </w:tr>
      <w:tr>
        <w:trPr>
          <w:trHeight w:val="242"/>
        </w:trPr>
        <w:tc>
          <w:tcPr>
            <w:tcW w:w="5520" w:type="dxa"/>
            <w:vAlign w:val="bottom"/>
          </w:tcPr>
          <w:p>
            <w:pPr>
              <w:spacing w:after="0"/>
              <w:rPr>
                <w:sz w:val="20"/>
                <w:szCs w:val="20"/>
                <w:color w:val="auto"/>
              </w:rPr>
            </w:pPr>
            <w:r>
              <w:rPr>
                <w:rFonts w:ascii="Arial" w:cs="Arial" w:eastAsia="Arial" w:hAnsi="Arial"/>
                <w:sz w:val="18"/>
                <w:szCs w:val="18"/>
                <w:color w:val="auto"/>
              </w:rPr>
              <w:t>- vs. prior year</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22.4%</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13.5%</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7.9%</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4.4%</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on constant currency</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24.2%</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11.6%</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8.6%</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Sales</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648.9</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2,470.8</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272.8</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1,075.9</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-6.7%</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-7.7%</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-6.2%</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on constant currency</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-5.6%</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-9.3%</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-5.6%</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-0.3%</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Gross Profit</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198.3</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760.4</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80.3</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316.7</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-4.5%</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-13.5%</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Gross Margin (% of sales)</w:t>
            </w:r>
          </w:p>
        </w:tc>
        <w:tc>
          <w:tcPr>
            <w:tcW w:w="4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30.6%</w:t>
            </w:r>
          </w:p>
        </w:tc>
        <w:tc>
          <w:tcPr>
            <w:tcW w:w="440" w:type="dxa"/>
            <w:vAlign w:val="bottom"/>
          </w:tcPr>
          <w:p>
            <w:pPr>
              <w:spacing w:after="0"/>
              <w:rPr>
                <w:sz w:val="24"/>
                <w:szCs w:val="24"/>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30.8%</w:t>
            </w:r>
          </w:p>
        </w:tc>
        <w:tc>
          <w:tcPr>
            <w:tcW w:w="3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29.4%</w:t>
            </w:r>
          </w:p>
        </w:tc>
        <w:tc>
          <w:tcPr>
            <w:tcW w:w="42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29.4%</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 (in basis points)</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70 bps</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50 bps</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(250) bps</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(100) bps</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Operating Income</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62.5</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243.2</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30.0</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119.7</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-25.8%</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-10.3%</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-41.6%</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-4.7%</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on constant currency</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-24.5%</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-12.5%</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-42.0%</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-6.9%</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Operating Margin (% of sales)</w:t>
            </w:r>
          </w:p>
        </w:tc>
        <w:tc>
          <w:tcPr>
            <w:tcW w:w="4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9.6%</w:t>
            </w:r>
          </w:p>
        </w:tc>
        <w:tc>
          <w:tcPr>
            <w:tcW w:w="440" w:type="dxa"/>
            <w:vAlign w:val="bottom"/>
          </w:tcPr>
          <w:p>
            <w:pPr>
              <w:spacing w:after="0"/>
              <w:rPr>
                <w:sz w:val="24"/>
                <w:szCs w:val="24"/>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9.8%</w:t>
            </w:r>
          </w:p>
        </w:tc>
        <w:tc>
          <w:tcPr>
            <w:tcW w:w="3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11.0%</w:t>
            </w:r>
          </w:p>
        </w:tc>
        <w:tc>
          <w:tcPr>
            <w:tcW w:w="42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11.1%</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 (in basis points)</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(250) bps</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 bps</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(670) bps</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(80) bps</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Adjusted Operating Income *</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63.1</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256.7</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30.5</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122.4</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-30.7%</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-22.1%</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-41.5%</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-13.7%</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on constant currency</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-29.5%</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-24.0%</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-41.7%</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-15.7%</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Adj. Oper. Margin (% of sales)*</w:t>
            </w:r>
          </w:p>
        </w:tc>
        <w:tc>
          <w:tcPr>
            <w:tcW w:w="4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9.7%</w:t>
            </w:r>
          </w:p>
        </w:tc>
        <w:tc>
          <w:tcPr>
            <w:tcW w:w="440" w:type="dxa"/>
            <w:vAlign w:val="bottom"/>
          </w:tcPr>
          <w:p>
            <w:pPr>
              <w:spacing w:after="0"/>
              <w:rPr>
                <w:sz w:val="24"/>
                <w:szCs w:val="24"/>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10.4%</w:t>
            </w:r>
          </w:p>
        </w:tc>
        <w:tc>
          <w:tcPr>
            <w:tcW w:w="3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11.2%</w:t>
            </w:r>
          </w:p>
        </w:tc>
        <w:tc>
          <w:tcPr>
            <w:tcW w:w="42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11.4%</w:t>
            </w:r>
          </w:p>
        </w:tc>
      </w:tr>
      <w:tr>
        <w:trPr>
          <w:trHeight w:val="243"/>
        </w:trPr>
        <w:tc>
          <w:tcPr>
            <w:tcW w:w="5520" w:type="dxa"/>
            <w:vAlign w:val="bottom"/>
          </w:tcPr>
          <w:p>
            <w:pPr>
              <w:spacing w:after="0"/>
              <w:rPr>
                <w:sz w:val="20"/>
                <w:szCs w:val="20"/>
                <w:color w:val="auto"/>
              </w:rPr>
            </w:pPr>
            <w:r>
              <w:rPr>
                <w:rFonts w:ascii="Arial" w:cs="Arial" w:eastAsia="Arial" w:hAnsi="Arial"/>
                <w:sz w:val="18"/>
                <w:szCs w:val="18"/>
                <w:color w:val="auto"/>
              </w:rPr>
              <w:t>- vs. prior year (in basis points)</w:t>
            </w:r>
          </w:p>
        </w:tc>
        <w:tc>
          <w:tcPr>
            <w:tcW w:w="4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(340) bps</w:t>
            </w:r>
          </w:p>
        </w:tc>
        <w:tc>
          <w:tcPr>
            <w:tcW w:w="440" w:type="dxa"/>
            <w:vAlign w:val="bottom"/>
          </w:tcPr>
          <w:p>
            <w:pPr>
              <w:spacing w:after="0"/>
              <w:rPr>
                <w:sz w:val="21"/>
                <w:szCs w:val="21"/>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(190) bps</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(670) bps</w:t>
            </w:r>
          </w:p>
        </w:tc>
        <w:tc>
          <w:tcPr>
            <w:tcW w:w="420" w:type="dxa"/>
            <w:vAlign w:val="bottom"/>
          </w:tcPr>
          <w:p>
            <w:pPr>
              <w:spacing w:after="0"/>
              <w:rPr>
                <w:sz w:val="21"/>
                <w:szCs w:val="21"/>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(200) bps</w:t>
            </w:r>
          </w:p>
        </w:tc>
      </w:tr>
      <w:tr>
        <w:trPr>
          <w:trHeight w:val="486"/>
        </w:trPr>
        <w:tc>
          <w:tcPr>
            <w:tcW w:w="5520" w:type="dxa"/>
            <w:vAlign w:val="bottom"/>
          </w:tcPr>
          <w:p>
            <w:pPr>
              <w:spacing w:after="0"/>
              <w:rPr>
                <w:sz w:val="20"/>
                <w:szCs w:val="20"/>
                <w:color w:val="auto"/>
              </w:rPr>
            </w:pPr>
            <w:r>
              <w:rPr>
                <w:rFonts w:ascii="Arial" w:cs="Arial" w:eastAsia="Arial" w:hAnsi="Arial"/>
                <w:sz w:val="18"/>
                <w:szCs w:val="18"/>
                <w:color w:val="auto"/>
              </w:rPr>
              <w:t>Backlog</w:t>
            </w:r>
          </w:p>
        </w:tc>
        <w:tc>
          <w:tcPr>
            <w:tcW w:w="40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1,368.9</w:t>
            </w:r>
          </w:p>
        </w:tc>
        <w:tc>
          <w:tcPr>
            <w:tcW w:w="4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639.8</w:t>
            </w:r>
          </w:p>
        </w:tc>
        <w:tc>
          <w:tcPr>
            <w:tcW w:w="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 Adjusted Operating Income and Adjusted Operating Margin exclude realignment charges and other specific discrete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4"/>
        </w:trPr>
        <w:tc>
          <w:tcPr>
            <w:tcW w:w="8220" w:type="dxa"/>
            <w:vAlign w:val="bottom"/>
          </w:tcPr>
          <w:p>
            <w:pPr>
              <w:spacing w:after="0"/>
              <w:rPr>
                <w:sz w:val="20"/>
                <w:szCs w:val="20"/>
                <w:color w:val="auto"/>
              </w:rPr>
            </w:pPr>
            <w:r>
              <w:rPr>
                <w:rFonts w:ascii="Arial" w:cs="Arial" w:eastAsia="Arial" w:hAnsi="Arial"/>
                <w:sz w:val="18"/>
                <w:szCs w:val="18"/>
                <w:b w:val="1"/>
                <w:bCs w:val="1"/>
                <w:color w:val="auto"/>
              </w:rPr>
              <w:t>CONSOLIDATED BALANCE SHEETS</w:t>
            </w: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8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b w:val="1"/>
                <w:bCs w:val="1"/>
                <w:color w:val="auto"/>
                <w:w w:val="90"/>
              </w:rPr>
              <w:t>December 31,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b w:val="1"/>
                <w:bCs w:val="1"/>
                <w:color w:val="auto"/>
                <w:w w:val="92"/>
              </w:rPr>
              <w:t>December 31,</w:t>
            </w:r>
          </w:p>
        </w:tc>
        <w:tc>
          <w:tcPr>
            <w:tcW w:w="0" w:type="dxa"/>
            <w:vAlign w:val="bottom"/>
          </w:tcPr>
          <w:p>
            <w:pPr>
              <w:spacing w:after="0"/>
              <w:rPr>
                <w:sz w:val="1"/>
                <w:szCs w:val="1"/>
                <w:color w:val="auto"/>
              </w:rPr>
            </w:pPr>
          </w:p>
        </w:tc>
      </w:tr>
      <w:tr>
        <w:trPr>
          <w:trHeight w:val="257"/>
        </w:trPr>
        <w:tc>
          <w:tcPr>
            <w:tcW w:w="8220" w:type="dxa"/>
            <w:vAlign w:val="bottom"/>
          </w:tcPr>
          <w:p>
            <w:pPr>
              <w:spacing w:after="0"/>
              <w:rPr>
                <w:sz w:val="20"/>
                <w:szCs w:val="20"/>
                <w:color w:val="auto"/>
              </w:rPr>
            </w:pPr>
            <w:r>
              <w:rPr>
                <w:rFonts w:ascii="Arial" w:cs="Arial" w:eastAsia="Arial" w:hAnsi="Arial"/>
                <w:sz w:val="18"/>
                <w:szCs w:val="18"/>
                <w:color w:val="auto"/>
              </w:rPr>
              <w:t>(Amounts in thousands, except par value)</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466"/>
        </w:trPr>
        <w:tc>
          <w:tcPr>
            <w:tcW w:w="822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Cash and cash equivalents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658,452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1,095,274</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739,210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753,462</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Contract assets,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195,598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277,734</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Inventories,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678,287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667,228</w:t>
            </w:r>
          </w:p>
        </w:tc>
        <w:tc>
          <w:tcPr>
            <w:tcW w:w="0" w:type="dxa"/>
            <w:vAlign w:val="bottom"/>
          </w:tcPr>
          <w:p>
            <w:pPr>
              <w:spacing w:after="0"/>
              <w:rPr>
                <w:sz w:val="1"/>
                <w:szCs w:val="1"/>
                <w:color w:val="auto"/>
              </w:rPr>
            </w:pPr>
          </w:p>
        </w:tc>
      </w:tr>
      <w:tr>
        <w:trPr>
          <w:trHeight w:val="257"/>
        </w:trPr>
        <w:tc>
          <w:tcPr>
            <w:tcW w:w="8220" w:type="dxa"/>
            <w:vAlign w:val="bottom"/>
          </w:tcPr>
          <w:p>
            <w:pPr>
              <w:ind w:left="220"/>
              <w:spacing w:after="0"/>
              <w:rPr>
                <w:sz w:val="20"/>
                <w:szCs w:val="20"/>
                <w:color w:val="auto"/>
              </w:rPr>
            </w:pPr>
            <w:r>
              <w:rPr>
                <w:rFonts w:ascii="Arial" w:cs="Arial" w:eastAsia="Arial" w:hAnsi="Arial"/>
                <w:sz w:val="18"/>
                <w:szCs w:val="18"/>
                <w:color w:val="auto"/>
              </w:rPr>
              <w:t>Prepaid expenses and other</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117,130</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110,635</w:t>
            </w:r>
          </w:p>
        </w:tc>
        <w:tc>
          <w:tcPr>
            <w:tcW w:w="0" w:type="dxa"/>
            <w:vAlign w:val="bottom"/>
          </w:tcPr>
          <w:p>
            <w:pPr>
              <w:spacing w:after="0"/>
              <w:rPr>
                <w:sz w:val="1"/>
                <w:szCs w:val="1"/>
                <w:color w:val="auto"/>
              </w:rPr>
            </w:pPr>
          </w:p>
        </w:tc>
      </w:tr>
      <w:tr>
        <w:trPr>
          <w:trHeight w:val="224"/>
        </w:trPr>
        <w:tc>
          <w:tcPr>
            <w:tcW w:w="8220" w:type="dxa"/>
            <w:vAlign w:val="bottom"/>
          </w:tcPr>
          <w:p>
            <w:pPr>
              <w:ind w:left="420"/>
              <w:spacing w:after="0"/>
              <w:rPr>
                <w:sz w:val="20"/>
                <w:szCs w:val="20"/>
                <w:color w:val="auto"/>
              </w:rPr>
            </w:pPr>
            <w:r>
              <w:rPr>
                <w:rFonts w:ascii="Arial" w:cs="Arial" w:eastAsia="Arial" w:hAnsi="Arial"/>
                <w:sz w:val="18"/>
                <w:szCs w:val="18"/>
                <w:color w:val="auto"/>
              </w:rPr>
              <w:t>Total current assets</w:t>
            </w:r>
          </w:p>
        </w:tc>
        <w:tc>
          <w:tcPr>
            <w:tcW w:w="16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2,388,677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2,904,333</w:t>
            </w:r>
          </w:p>
        </w:tc>
        <w:tc>
          <w:tcPr>
            <w:tcW w:w="0" w:type="dxa"/>
            <w:vAlign w:val="bottom"/>
          </w:tcPr>
          <w:p>
            <w:pPr>
              <w:spacing w:after="0"/>
              <w:rPr>
                <w:sz w:val="1"/>
                <w:szCs w:val="1"/>
                <w:color w:val="auto"/>
              </w:rPr>
            </w:pPr>
          </w:p>
        </w:tc>
      </w:tr>
      <w:tr>
        <w:trPr>
          <w:trHeight w:val="242"/>
        </w:trPr>
        <w:tc>
          <w:tcPr>
            <w:tcW w:w="8220" w:type="dxa"/>
            <w:vAlign w:val="bottom"/>
          </w:tcPr>
          <w:p>
            <w:pPr>
              <w:spacing w:after="0"/>
              <w:rPr>
                <w:sz w:val="20"/>
                <w:szCs w:val="20"/>
                <w:color w:val="auto"/>
              </w:rPr>
            </w:pPr>
            <w:r>
              <w:rPr>
                <w:rFonts w:ascii="Arial" w:cs="Arial" w:eastAsia="Arial" w:hAnsi="Arial"/>
                <w:sz w:val="18"/>
                <w:szCs w:val="18"/>
                <w:color w:val="auto"/>
              </w:rPr>
              <w:t>Property, plant and equipment,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515,927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556,873</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Operating lease right-of-use assets,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193,863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208,125</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1,196,479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1,224,886</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Deferred taxes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44,049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30,538</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Other intangible assets, net</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152,463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168,496</w:t>
            </w:r>
          </w:p>
        </w:tc>
        <w:tc>
          <w:tcPr>
            <w:tcW w:w="0" w:type="dxa"/>
            <w:vAlign w:val="bottom"/>
          </w:tcPr>
          <w:p>
            <w:pPr>
              <w:spacing w:after="0"/>
              <w:rPr>
                <w:sz w:val="1"/>
                <w:szCs w:val="1"/>
                <w:color w:val="auto"/>
              </w:rPr>
            </w:pPr>
          </w:p>
        </w:tc>
      </w:tr>
      <w:tr>
        <w:trPr>
          <w:trHeight w:val="257"/>
        </w:trPr>
        <w:tc>
          <w:tcPr>
            <w:tcW w:w="8220" w:type="dxa"/>
            <w:vAlign w:val="bottom"/>
          </w:tcPr>
          <w:p>
            <w:pPr>
              <w:spacing w:after="0"/>
              <w:rPr>
                <w:sz w:val="20"/>
                <w:szCs w:val="20"/>
                <w:color w:val="auto"/>
              </w:rPr>
            </w:pPr>
            <w:r>
              <w:rPr>
                <w:rFonts w:ascii="Arial" w:cs="Arial" w:eastAsia="Arial" w:hAnsi="Arial"/>
                <w:sz w:val="18"/>
                <w:szCs w:val="18"/>
                <w:color w:val="auto"/>
              </w:rPr>
              <w:t>Other assets, net</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258,310</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221,426</w:t>
            </w:r>
          </w:p>
        </w:tc>
        <w:tc>
          <w:tcPr>
            <w:tcW w:w="0" w:type="dxa"/>
            <w:vAlign w:val="bottom"/>
          </w:tcPr>
          <w:p>
            <w:pPr>
              <w:spacing w:after="0"/>
              <w:rPr>
                <w:sz w:val="1"/>
                <w:szCs w:val="1"/>
                <w:color w:val="auto"/>
              </w:rPr>
            </w:pPr>
          </w:p>
        </w:tc>
      </w:tr>
      <w:tr>
        <w:trPr>
          <w:trHeight w:val="237"/>
        </w:trPr>
        <w:tc>
          <w:tcPr>
            <w:tcW w:w="8220" w:type="dxa"/>
            <w:vAlign w:val="bottom"/>
          </w:tcPr>
          <w:p>
            <w:pPr>
              <w:spacing w:after="0"/>
              <w:rPr>
                <w:sz w:val="20"/>
                <w:szCs w:val="20"/>
                <w:color w:val="auto"/>
              </w:rPr>
            </w:pPr>
            <w:r>
              <w:rPr>
                <w:rFonts w:ascii="Arial" w:cs="Arial" w:eastAsia="Arial" w:hAnsi="Arial"/>
                <w:sz w:val="18"/>
                <w:szCs w:val="18"/>
                <w:color w:val="auto"/>
              </w:rPr>
              <w:t>Total assets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4,749,768</w:t>
            </w:r>
          </w:p>
        </w:tc>
        <w:tc>
          <w:tcPr>
            <w:tcW w:w="120" w:type="dxa"/>
            <w:vAlign w:val="bottom"/>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5,314,677</w:t>
            </w:r>
          </w:p>
        </w:tc>
        <w:tc>
          <w:tcPr>
            <w:tcW w:w="0" w:type="dxa"/>
            <w:vAlign w:val="bottom"/>
          </w:tcPr>
          <w:p>
            <w:pPr>
              <w:spacing w:after="0"/>
              <w:rPr>
                <w:sz w:val="1"/>
                <w:szCs w:val="1"/>
                <w:color w:val="auto"/>
              </w:rPr>
            </w:pPr>
          </w:p>
        </w:tc>
      </w:tr>
      <w:tr>
        <w:trPr>
          <w:trHeight w:val="20"/>
        </w:trPr>
        <w:tc>
          <w:tcPr>
            <w:tcW w:w="822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822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410,062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440,199</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Accrued liabilities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445,092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463,222</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Contract liabilities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202,965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194,227</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Debt due within one year</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41,058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8,995</w:t>
            </w:r>
          </w:p>
        </w:tc>
        <w:tc>
          <w:tcPr>
            <w:tcW w:w="0" w:type="dxa"/>
            <w:vAlign w:val="bottom"/>
          </w:tcPr>
          <w:p>
            <w:pPr>
              <w:spacing w:after="0"/>
              <w:rPr>
                <w:sz w:val="1"/>
                <w:szCs w:val="1"/>
                <w:color w:val="auto"/>
              </w:rPr>
            </w:pPr>
          </w:p>
        </w:tc>
      </w:tr>
      <w:tr>
        <w:trPr>
          <w:trHeight w:val="256"/>
        </w:trPr>
        <w:tc>
          <w:tcPr>
            <w:tcW w:w="8220" w:type="dxa"/>
            <w:vAlign w:val="bottom"/>
          </w:tcPr>
          <w:p>
            <w:pPr>
              <w:ind w:left="220"/>
              <w:spacing w:after="0"/>
              <w:rPr>
                <w:sz w:val="20"/>
                <w:szCs w:val="20"/>
                <w:color w:val="auto"/>
              </w:rPr>
            </w:pPr>
            <w:r>
              <w:rPr>
                <w:rFonts w:ascii="Arial" w:cs="Arial" w:eastAsia="Arial" w:hAnsi="Arial"/>
                <w:sz w:val="18"/>
                <w:szCs w:val="18"/>
                <w:color w:val="auto"/>
              </w:rPr>
              <w:t>Operating lease liabilities</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32,628</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34,990</w:t>
            </w:r>
          </w:p>
        </w:tc>
        <w:tc>
          <w:tcPr>
            <w:tcW w:w="0" w:type="dxa"/>
            <w:vAlign w:val="bottom"/>
          </w:tcPr>
          <w:p>
            <w:pPr>
              <w:spacing w:after="0"/>
              <w:rPr>
                <w:sz w:val="1"/>
                <w:szCs w:val="1"/>
                <w:color w:val="auto"/>
              </w:rPr>
            </w:pPr>
          </w:p>
        </w:tc>
      </w:tr>
      <w:tr>
        <w:trPr>
          <w:trHeight w:val="224"/>
        </w:trPr>
        <w:tc>
          <w:tcPr>
            <w:tcW w:w="8220" w:type="dxa"/>
            <w:vAlign w:val="bottom"/>
          </w:tcPr>
          <w:p>
            <w:pPr>
              <w:ind w:left="420"/>
              <w:spacing w:after="0"/>
              <w:rPr>
                <w:sz w:val="20"/>
                <w:szCs w:val="20"/>
                <w:color w:val="auto"/>
              </w:rPr>
            </w:pPr>
            <w:r>
              <w:rPr>
                <w:rFonts w:ascii="Arial" w:cs="Arial" w:eastAsia="Arial" w:hAnsi="Arial"/>
                <w:sz w:val="18"/>
                <w:szCs w:val="18"/>
                <w:color w:val="auto"/>
              </w:rPr>
              <w:t>Total current liabilities</w:t>
            </w:r>
          </w:p>
        </w:tc>
        <w:tc>
          <w:tcPr>
            <w:tcW w:w="16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1,131,805</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1,141,633</w:t>
            </w:r>
          </w:p>
        </w:tc>
        <w:tc>
          <w:tcPr>
            <w:tcW w:w="0" w:type="dxa"/>
            <w:vAlign w:val="bottom"/>
          </w:tcPr>
          <w:p>
            <w:pPr>
              <w:spacing w:after="0"/>
              <w:rPr>
                <w:sz w:val="1"/>
                <w:szCs w:val="1"/>
                <w:color w:val="auto"/>
              </w:rPr>
            </w:pPr>
          </w:p>
        </w:tc>
      </w:tr>
      <w:tr>
        <w:trPr>
          <w:trHeight w:val="242"/>
        </w:trPr>
        <w:tc>
          <w:tcPr>
            <w:tcW w:w="8220" w:type="dxa"/>
            <w:vAlign w:val="bottom"/>
          </w:tcPr>
          <w:p>
            <w:pPr>
              <w:spacing w:after="0"/>
              <w:rPr>
                <w:sz w:val="20"/>
                <w:szCs w:val="20"/>
                <w:color w:val="auto"/>
              </w:rPr>
            </w:pPr>
            <w:r>
              <w:rPr>
                <w:rFonts w:ascii="Arial" w:cs="Arial" w:eastAsia="Arial" w:hAnsi="Arial"/>
                <w:sz w:val="18"/>
                <w:szCs w:val="18"/>
                <w:color w:val="auto"/>
              </w:rPr>
              <w:t>Long-term debt due after one year</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1,261,770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1,717,911</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Operating lease liabilities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166,786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176,246</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Retirement obligations and other liabilities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352,062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517,566</w:t>
            </w:r>
          </w:p>
        </w:tc>
        <w:tc>
          <w:tcPr>
            <w:tcW w:w="0" w:type="dxa"/>
            <w:vAlign w:val="bottom"/>
          </w:tcPr>
          <w:p>
            <w:pPr>
              <w:spacing w:after="0"/>
              <w:rPr>
                <w:sz w:val="1"/>
                <w:szCs w:val="1"/>
                <w:color w:val="auto"/>
              </w:rPr>
            </w:pPr>
          </w:p>
        </w:tc>
      </w:tr>
      <w:tr>
        <w:trPr>
          <w:trHeight w:val="243"/>
        </w:trPr>
        <w:tc>
          <w:tcPr>
            <w:tcW w:w="8220" w:type="dxa"/>
            <w:vAlign w:val="bottom"/>
          </w:tcPr>
          <w:p>
            <w:pPr>
              <w:spacing w:after="0"/>
              <w:rPr>
                <w:sz w:val="20"/>
                <w:szCs w:val="20"/>
                <w:color w:val="auto"/>
              </w:rPr>
            </w:pPr>
            <w:r>
              <w:rPr>
                <w:rFonts w:ascii="Arial" w:cs="Arial" w:eastAsia="Arial" w:hAnsi="Arial"/>
                <w:sz w:val="18"/>
                <w:szCs w:val="18"/>
                <w:color w:val="auto"/>
              </w:rPr>
              <w:t>Shareholders’ equity:</w:t>
            </w:r>
          </w:p>
        </w:tc>
        <w:tc>
          <w:tcPr>
            <w:tcW w:w="1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Common shares, $1.25 par value</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220,991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220,991</w:t>
            </w:r>
          </w:p>
        </w:tc>
        <w:tc>
          <w:tcPr>
            <w:tcW w:w="0" w:type="dxa"/>
            <w:vAlign w:val="bottom"/>
          </w:tcPr>
          <w:p>
            <w:pPr>
              <w:spacing w:after="0"/>
              <w:rPr>
                <w:sz w:val="1"/>
                <w:szCs w:val="1"/>
                <w:color w:val="auto"/>
              </w:rPr>
            </w:pPr>
          </w:p>
        </w:tc>
      </w:tr>
      <w:tr>
        <w:trPr>
          <w:trHeight w:val="243"/>
        </w:trPr>
        <w:tc>
          <w:tcPr>
            <w:tcW w:w="8220" w:type="dxa"/>
            <w:vAlign w:val="bottom"/>
          </w:tcPr>
          <w:p>
            <w:pPr>
              <w:ind w:left="420"/>
              <w:spacing w:after="0"/>
              <w:rPr>
                <w:sz w:val="20"/>
                <w:szCs w:val="20"/>
                <w:color w:val="auto"/>
              </w:rPr>
            </w:pPr>
            <w:r>
              <w:rPr>
                <w:rFonts w:ascii="Arial" w:cs="Arial" w:eastAsia="Arial" w:hAnsi="Arial"/>
                <w:sz w:val="18"/>
                <w:szCs w:val="18"/>
                <w:color w:val="auto"/>
              </w:rPr>
              <w:t>Shares authorized – 305,000</w:t>
            </w:r>
          </w:p>
        </w:tc>
        <w:tc>
          <w:tcPr>
            <w:tcW w:w="1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420"/>
              <w:spacing w:after="0"/>
              <w:rPr>
                <w:sz w:val="20"/>
                <w:szCs w:val="20"/>
                <w:color w:val="auto"/>
              </w:rPr>
            </w:pPr>
            <w:r>
              <w:rPr>
                <w:rFonts w:ascii="Arial" w:cs="Arial" w:eastAsia="Arial" w:hAnsi="Arial"/>
                <w:sz w:val="18"/>
                <w:szCs w:val="18"/>
                <w:color w:val="auto"/>
              </w:rPr>
              <w:t>Shares issued – 176,793 and 176,793, respectfully</w:t>
            </w:r>
          </w:p>
        </w:tc>
        <w:tc>
          <w:tcPr>
            <w:tcW w:w="1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Capital in excess of par value</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506,386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502,227</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Retained earnings</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3,691,023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3,670,543</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Treasury shares, at cost – 46,794 and 46,768 shares, respectively</w:t>
            </w:r>
          </w:p>
        </w:tc>
        <w:tc>
          <w:tcPr>
            <w:tcW w:w="1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(2,057,706)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(2,059,309)</w:t>
            </w:r>
          </w:p>
        </w:tc>
        <w:tc>
          <w:tcPr>
            <w:tcW w:w="0" w:type="dxa"/>
            <w:vAlign w:val="bottom"/>
          </w:tcPr>
          <w:p>
            <w:pPr>
              <w:spacing w:after="0"/>
              <w:rPr>
                <w:sz w:val="1"/>
                <w:szCs w:val="1"/>
                <w:color w:val="auto"/>
              </w:rPr>
            </w:pPr>
          </w:p>
        </w:tc>
      </w:tr>
      <w:tr>
        <w:trPr>
          <w:trHeight w:val="243"/>
        </w:trPr>
        <w:tc>
          <w:tcPr>
            <w:tcW w:w="8220" w:type="dxa"/>
            <w:vAlign w:val="bottom"/>
          </w:tcPr>
          <w:p>
            <w:pPr>
              <w:ind w:left="220"/>
              <w:spacing w:after="0"/>
              <w:rPr>
                <w:sz w:val="20"/>
                <w:szCs w:val="20"/>
                <w:color w:val="auto"/>
              </w:rPr>
            </w:pPr>
            <w:r>
              <w:rPr>
                <w:rFonts w:ascii="Arial" w:cs="Arial" w:eastAsia="Arial" w:hAnsi="Arial"/>
                <w:sz w:val="18"/>
                <w:szCs w:val="18"/>
                <w:color w:val="auto"/>
              </w:rPr>
              <w:t>Deferred compensation obligation</w:t>
            </w: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7,214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6,164</w:t>
            </w:r>
          </w:p>
        </w:tc>
        <w:tc>
          <w:tcPr>
            <w:tcW w:w="0" w:type="dxa"/>
            <w:vAlign w:val="bottom"/>
          </w:tcPr>
          <w:p>
            <w:pPr>
              <w:spacing w:after="0"/>
              <w:rPr>
                <w:sz w:val="1"/>
                <w:szCs w:val="1"/>
                <w:color w:val="auto"/>
              </w:rPr>
            </w:pPr>
          </w:p>
        </w:tc>
      </w:tr>
      <w:tr>
        <w:trPr>
          <w:trHeight w:val="256"/>
        </w:trPr>
        <w:tc>
          <w:tcPr>
            <w:tcW w:w="8220" w:type="dxa"/>
            <w:vAlign w:val="bottom"/>
          </w:tcPr>
          <w:p>
            <w:pPr>
              <w:ind w:left="22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(563,589)</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(609,625)</w:t>
            </w:r>
          </w:p>
        </w:tc>
        <w:tc>
          <w:tcPr>
            <w:tcW w:w="0" w:type="dxa"/>
            <w:vAlign w:val="bottom"/>
          </w:tcPr>
          <w:p>
            <w:pPr>
              <w:spacing w:after="0"/>
              <w:rPr>
                <w:sz w:val="1"/>
                <w:szCs w:val="1"/>
                <w:color w:val="auto"/>
              </w:rPr>
            </w:pPr>
          </w:p>
        </w:tc>
      </w:tr>
      <w:tr>
        <w:trPr>
          <w:trHeight w:val="224"/>
        </w:trPr>
        <w:tc>
          <w:tcPr>
            <w:tcW w:w="8220" w:type="dxa"/>
            <w:vAlign w:val="bottom"/>
          </w:tcPr>
          <w:p>
            <w:pPr>
              <w:spacing w:after="0"/>
              <w:rPr>
                <w:sz w:val="20"/>
                <w:szCs w:val="20"/>
                <w:color w:val="auto"/>
              </w:rPr>
            </w:pPr>
            <w:r>
              <w:rPr>
                <w:rFonts w:ascii="Arial" w:cs="Arial" w:eastAsia="Arial" w:hAnsi="Arial"/>
                <w:sz w:val="18"/>
                <w:szCs w:val="18"/>
                <w:color w:val="auto"/>
              </w:rPr>
              <w:t>Total Flowserve Corporation shareholders' equity</w:t>
            </w:r>
          </w:p>
        </w:tc>
        <w:tc>
          <w:tcPr>
            <w:tcW w:w="16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1,804,319</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1,730,991</w:t>
            </w:r>
          </w:p>
        </w:tc>
        <w:tc>
          <w:tcPr>
            <w:tcW w:w="0" w:type="dxa"/>
            <w:vAlign w:val="bottom"/>
          </w:tcPr>
          <w:p>
            <w:pPr>
              <w:spacing w:after="0"/>
              <w:rPr>
                <w:sz w:val="1"/>
                <w:szCs w:val="1"/>
                <w:color w:val="auto"/>
              </w:rPr>
            </w:pPr>
          </w:p>
        </w:tc>
      </w:tr>
      <w:tr>
        <w:trPr>
          <w:trHeight w:val="256"/>
        </w:trPr>
        <w:tc>
          <w:tcPr>
            <w:tcW w:w="822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33,026</w:t>
            </w: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30,330</w:t>
            </w:r>
          </w:p>
        </w:tc>
        <w:tc>
          <w:tcPr>
            <w:tcW w:w="0" w:type="dxa"/>
            <w:vAlign w:val="bottom"/>
          </w:tcPr>
          <w:p>
            <w:pPr>
              <w:spacing w:after="0"/>
              <w:rPr>
                <w:sz w:val="1"/>
                <w:szCs w:val="1"/>
                <w:color w:val="auto"/>
              </w:rPr>
            </w:pPr>
          </w:p>
        </w:tc>
      </w:tr>
      <w:tr>
        <w:trPr>
          <w:trHeight w:val="237"/>
        </w:trPr>
        <w:tc>
          <w:tcPr>
            <w:tcW w:w="8220" w:type="dxa"/>
            <w:vAlign w:val="bottom"/>
          </w:tcPr>
          <w:p>
            <w:pPr>
              <w:ind w:left="220"/>
              <w:spacing w:after="0"/>
              <w:rPr>
                <w:sz w:val="20"/>
                <w:szCs w:val="20"/>
                <w:color w:val="auto"/>
              </w:rPr>
            </w:pPr>
            <w:r>
              <w:rPr>
                <w:rFonts w:ascii="Arial" w:cs="Arial" w:eastAsia="Arial" w:hAnsi="Arial"/>
                <w:sz w:val="18"/>
                <w:szCs w:val="18"/>
                <w:color w:val="auto"/>
              </w:rPr>
              <w:t>Total equity</w:t>
            </w: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1,837,345</w:t>
            </w:r>
          </w:p>
        </w:tc>
        <w:tc>
          <w:tcPr>
            <w:tcW w:w="1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1,761,321</w:t>
            </w:r>
          </w:p>
        </w:tc>
        <w:tc>
          <w:tcPr>
            <w:tcW w:w="0" w:type="dxa"/>
            <w:vAlign w:val="bottom"/>
          </w:tcPr>
          <w:p>
            <w:pPr>
              <w:spacing w:after="0"/>
              <w:rPr>
                <w:sz w:val="1"/>
                <w:szCs w:val="1"/>
                <w:color w:val="auto"/>
              </w:rPr>
            </w:pPr>
          </w:p>
        </w:tc>
      </w:tr>
      <w:tr>
        <w:trPr>
          <w:trHeight w:val="236"/>
        </w:trPr>
        <w:tc>
          <w:tcPr>
            <w:tcW w:w="8220" w:type="dxa"/>
            <w:vAlign w:val="bottom"/>
          </w:tcPr>
          <w:p>
            <w:pPr>
              <w:spacing w:after="0"/>
              <w:rPr>
                <w:sz w:val="20"/>
                <w:szCs w:val="20"/>
                <w:color w:val="auto"/>
              </w:rPr>
            </w:pPr>
            <w:r>
              <w:rPr>
                <w:rFonts w:ascii="Arial" w:cs="Arial" w:eastAsia="Arial" w:hAnsi="Arial"/>
                <w:sz w:val="18"/>
                <w:szCs w:val="18"/>
                <w:color w:val="auto"/>
              </w:rPr>
              <w:t>Total liabilities and equity</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4,749,768</w:t>
            </w:r>
          </w:p>
        </w:tc>
        <w:tc>
          <w:tcPr>
            <w:tcW w:w="120" w:type="dxa"/>
            <w:vAlign w:val="bottom"/>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5,314,677</w:t>
            </w:r>
          </w:p>
        </w:tc>
        <w:tc>
          <w:tcPr>
            <w:tcW w:w="0" w:type="dxa"/>
            <w:vAlign w:val="bottom"/>
          </w:tcPr>
          <w:p>
            <w:pPr>
              <w:spacing w:after="0"/>
              <w:rPr>
                <w:sz w:val="1"/>
                <w:szCs w:val="1"/>
                <w:color w:val="auto"/>
              </w:rPr>
            </w:pPr>
          </w:p>
        </w:tc>
      </w:tr>
      <w:tr>
        <w:trPr>
          <w:trHeight w:val="20"/>
        </w:trPr>
        <w:tc>
          <w:tcPr>
            <w:tcW w:w="8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82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18" w:name="page19"/>
    <w:bookmarkEnd w:id="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40" w:type="dxa"/>
            <w:vAlign w:val="bottom"/>
          </w:tcPr>
          <w:p>
            <w:pPr>
              <w:spacing w:after="0"/>
              <w:rPr>
                <w:sz w:val="20"/>
                <w:szCs w:val="20"/>
                <w:color w:val="auto"/>
              </w:rPr>
            </w:pPr>
            <w:r>
              <w:rPr>
                <w:rFonts w:ascii="Arial" w:cs="Arial" w:eastAsia="Arial" w:hAnsi="Arial"/>
                <w:sz w:val="18"/>
                <w:szCs w:val="18"/>
                <w:b w:val="1"/>
                <w:bCs w:val="1"/>
                <w:color w:val="auto"/>
              </w:rPr>
              <w:t>CONSOLIDATED STATEMENTS OF CASH FLOWS</w:t>
            </w: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3"/>
        </w:trPr>
        <w:tc>
          <w:tcPr>
            <w:tcW w:w="664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6"/>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1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(Amounts in thousands)</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2020</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466"/>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Operating activities:</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Net earnings, including noncontrolling interests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136,182</w:t>
            </w:r>
          </w:p>
        </w:tc>
        <w:tc>
          <w:tcPr>
            <w:tcW w:w="4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140,875</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246,940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w w:val="90"/>
              </w:rPr>
              <w:t>Adjustments to reconcile net earnings to net cash provided (used) by operating activities: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Depreciation</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85,175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86,175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92,042</w:t>
            </w: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Amortization of intangible and other assets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14,647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14,578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13,862</w:t>
            </w: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Loss on extinguishment of debt</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46,176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1,201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29,478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27,252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23,882</w:t>
            </w: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Foreign currency, asset write downs and other non-cash adjustments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29,772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4,277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(11,724)</w:t>
            </w:r>
          </w:p>
        </w:tc>
        <w:tc>
          <w:tcPr>
            <w:tcW w:w="0" w:type="dxa"/>
            <w:vAlign w:val="bottom"/>
          </w:tcPr>
          <w:p>
            <w:pPr>
              <w:spacing w:after="0"/>
              <w:rPr>
                <w:sz w:val="1"/>
                <w:szCs w:val="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Change in assets and liabilities: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Accounts receivable, net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(8,675)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45,648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2,883</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Inventories, net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(32,124)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15,306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(31,058)</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Contract assets, net</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74,333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4,258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(45,220)</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Prepaid expenses and other assets, net</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1,302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34,262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(9,455)</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Contract liabilities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14,196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(34,066)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19,699</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Accounts payable</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(19,505)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(22,571)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24,678</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Accrued liabilities and income taxes payable</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(13,948)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50,203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12,418</w:t>
            </w:r>
          </w:p>
        </w:tc>
        <w:tc>
          <w:tcPr>
            <w:tcW w:w="0" w:type="dxa"/>
            <w:vAlign w:val="bottom"/>
          </w:tcPr>
          <w:p>
            <w:pPr>
              <w:spacing w:after="0"/>
              <w:rPr>
                <w:sz w:val="1"/>
                <w:szCs w:val="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Retirement obligations and other</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(15,690)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3,636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(3,357)</w:t>
            </w:r>
          </w:p>
        </w:tc>
        <w:tc>
          <w:tcPr>
            <w:tcW w:w="0" w:type="dxa"/>
            <w:vAlign w:val="bottom"/>
          </w:tcPr>
          <w:p>
            <w:pPr>
              <w:spacing w:after="0"/>
              <w:rPr>
                <w:sz w:val="1"/>
                <w:szCs w:val="1"/>
                <w:color w:val="auto"/>
              </w:rPr>
            </w:pPr>
          </w:p>
        </w:tc>
      </w:tr>
      <w:tr>
        <w:trPr>
          <w:trHeight w:val="250"/>
        </w:trPr>
        <w:tc>
          <w:tcPr>
            <w:tcW w:w="6640" w:type="dxa"/>
            <w:vAlign w:val="bottom"/>
          </w:tcPr>
          <w:p>
            <w:pPr>
              <w:ind w:left="620"/>
              <w:spacing w:after="0"/>
              <w:rPr>
                <w:sz w:val="20"/>
                <w:szCs w:val="20"/>
                <w:color w:val="auto"/>
              </w:rPr>
            </w:pPr>
            <w:r>
              <w:rPr>
                <w:rFonts w:ascii="Arial" w:cs="Arial" w:eastAsia="Arial" w:hAnsi="Arial"/>
                <w:sz w:val="18"/>
                <w:szCs w:val="18"/>
                <w:color w:val="auto"/>
              </w:rPr>
              <w:t>Net deferred taxes</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(91,200)</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(60,497)</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(11,493)</w:t>
            </w:r>
          </w:p>
        </w:tc>
        <w:tc>
          <w:tcPr>
            <w:tcW w:w="0" w:type="dxa"/>
            <w:vAlign w:val="bottom"/>
          </w:tcPr>
          <w:p>
            <w:pPr>
              <w:spacing w:after="0"/>
              <w:rPr>
                <w:sz w:val="1"/>
                <w:szCs w:val="1"/>
                <w:color w:val="auto"/>
              </w:rPr>
            </w:pP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operating activities</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250,119</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310,537</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324,097</w:t>
            </w:r>
          </w:p>
        </w:tc>
        <w:tc>
          <w:tcPr>
            <w:tcW w:w="0" w:type="dxa"/>
            <w:vAlign w:val="bottom"/>
          </w:tcPr>
          <w:p>
            <w:pPr>
              <w:spacing w:after="0"/>
              <w:rPr>
                <w:sz w:val="1"/>
                <w:szCs w:val="1"/>
                <w:color w:val="auto"/>
              </w:rPr>
            </w:pPr>
          </w:p>
        </w:tc>
      </w:tr>
      <w:tr>
        <w:trPr>
          <w:trHeight w:val="223"/>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Investing activities:</w:t>
            </w: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Capital expenditures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(54,936)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(57,405)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(75,716)</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from disposal of assets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2,663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15,705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42,333</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Net affiliate investment activity</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(7,204)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investing activities</w:t>
            </w: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(59,477)</w:t>
            </w: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(41,700)</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(33,383)</w:t>
            </w:r>
          </w:p>
        </w:tc>
        <w:tc>
          <w:tcPr>
            <w:tcW w:w="0" w:type="dxa"/>
            <w:vAlign w:val="bottom"/>
          </w:tcPr>
          <w:p>
            <w:pPr>
              <w:spacing w:after="0"/>
              <w:rPr>
                <w:sz w:val="1"/>
                <w:szCs w:val="1"/>
                <w:color w:val="auto"/>
              </w:rPr>
            </w:pPr>
          </w:p>
        </w:tc>
      </w:tr>
      <w:tr>
        <w:trPr>
          <w:trHeight w:val="223"/>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Financing activities:</w:t>
            </w: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on senior notes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(1,243,548)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(191,258)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from issuance of senior notes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498,280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498,280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on long-term debt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(7,500)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(105,000)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from issuance of long-term debt</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300,000</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 of deferred loan cost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(6,739)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(4,572)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from short-term financing</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75,000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on short-term financing</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(75,000)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under other financing arrangements</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1,408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2,285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3,404</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under other financing arrangements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(7,213)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(9,792)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(9,856)</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related to tax withholding for stock-based compensation</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(5,984)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(4,607)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(3,900)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Repurchases of common shares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(17,531)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(32,112)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of dividends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(104,604)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(104,159)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(99,557)</w:t>
            </w:r>
          </w:p>
        </w:tc>
        <w:tc>
          <w:tcPr>
            <w:tcW w:w="0" w:type="dxa"/>
            <w:vAlign w:val="bottom"/>
          </w:tcPr>
          <w:p>
            <w:pPr>
              <w:spacing w:after="0"/>
              <w:rPr>
                <w:sz w:val="1"/>
                <w:szCs w:val="1"/>
                <w:color w:val="auto"/>
              </w:rPr>
            </w:pPr>
          </w:p>
        </w:tc>
      </w:tr>
      <w:tr>
        <w:trPr>
          <w:trHeight w:val="250"/>
        </w:trPr>
        <w:tc>
          <w:tcPr>
            <w:tcW w:w="6640" w:type="dxa"/>
            <w:vAlign w:val="bottom"/>
          </w:tcPr>
          <w:p>
            <w:pPr>
              <w:ind w:left="220"/>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(6,276)</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(6,478)</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(1,555)</w:t>
            </w:r>
          </w:p>
        </w:tc>
        <w:tc>
          <w:tcPr>
            <w:tcW w:w="0" w:type="dxa"/>
            <w:vAlign w:val="bottom"/>
          </w:tcPr>
          <w:p>
            <w:pPr>
              <w:spacing w:after="0"/>
              <w:rPr>
                <w:sz w:val="1"/>
                <w:szCs w:val="1"/>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financing activities</w:t>
            </w:r>
          </w:p>
        </w:tc>
        <w:tc>
          <w:tcPr>
            <w:tcW w:w="3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(599,707)</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147,587</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(231,464)</w:t>
            </w:r>
          </w:p>
        </w:tc>
        <w:tc>
          <w:tcPr>
            <w:tcW w:w="0" w:type="dxa"/>
            <w:vAlign w:val="bottom"/>
          </w:tcPr>
          <w:p>
            <w:pPr>
              <w:spacing w:after="0"/>
              <w:rPr>
                <w:sz w:val="1"/>
                <w:szCs w:val="1"/>
                <w:color w:val="auto"/>
              </w:rPr>
            </w:pPr>
          </w:p>
        </w:tc>
      </w:tr>
      <w:tr>
        <w:trPr>
          <w:trHeight w:val="249"/>
        </w:trPr>
        <w:tc>
          <w:tcPr>
            <w:tcW w:w="664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(27,757)</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7,870</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(7,953)</w:t>
            </w:r>
          </w:p>
        </w:tc>
        <w:tc>
          <w:tcPr>
            <w:tcW w:w="0" w:type="dxa"/>
            <w:vAlign w:val="bottom"/>
          </w:tcPr>
          <w:p>
            <w:pPr>
              <w:spacing w:after="0"/>
              <w:rPr>
                <w:sz w:val="1"/>
                <w:szCs w:val="1"/>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3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(436,822)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424,294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51,297</w:t>
            </w:r>
          </w:p>
        </w:tc>
        <w:tc>
          <w:tcPr>
            <w:tcW w:w="0" w:type="dxa"/>
            <w:vAlign w:val="bottom"/>
          </w:tcPr>
          <w:p>
            <w:pPr>
              <w:spacing w:after="0"/>
              <w:rPr>
                <w:sz w:val="1"/>
                <w:szCs w:val="1"/>
                <w:color w:val="auto"/>
              </w:rPr>
            </w:pPr>
          </w:p>
        </w:tc>
      </w:tr>
      <w:tr>
        <w:trPr>
          <w:trHeight w:val="249"/>
        </w:trPr>
        <w:tc>
          <w:tcPr>
            <w:tcW w:w="6640" w:type="dxa"/>
            <w:vAlign w:val="bottom"/>
          </w:tcPr>
          <w:p>
            <w:pPr>
              <w:spacing w:after="0"/>
              <w:rPr>
                <w:sz w:val="20"/>
                <w:szCs w:val="20"/>
                <w:color w:val="auto"/>
              </w:rPr>
            </w:pPr>
            <w:r>
              <w:rPr>
                <w:rFonts w:ascii="Arial" w:cs="Arial" w:eastAsia="Arial" w:hAnsi="Arial"/>
                <w:sz w:val="18"/>
                <w:szCs w:val="18"/>
                <w:color w:val="auto"/>
              </w:rPr>
              <w:t>Cash and cash equivalents at beginning of year</w:t>
            </w: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1,095,274</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670,980</w:t>
            </w: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619,683</w:t>
            </w:r>
          </w:p>
        </w:tc>
        <w:tc>
          <w:tcPr>
            <w:tcW w:w="0" w:type="dxa"/>
            <w:vAlign w:val="bottom"/>
          </w:tcPr>
          <w:p>
            <w:pPr>
              <w:spacing w:after="0"/>
              <w:rPr>
                <w:sz w:val="1"/>
                <w:szCs w:val="1"/>
                <w:color w:val="auto"/>
              </w:rPr>
            </w:pP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Cash and cash equivalents at end of year</w:t>
            </w: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658,452</w:t>
            </w:r>
          </w:p>
        </w:tc>
        <w:tc>
          <w:tcPr>
            <w:tcW w:w="120" w:type="dxa"/>
            <w:vAlign w:val="bottom"/>
          </w:tcPr>
          <w:p>
            <w:pPr>
              <w:spacing w:after="0"/>
              <w:rPr>
                <w:sz w:val="21"/>
                <w:szCs w:val="21"/>
                <w:color w:val="auto"/>
              </w:rPr>
            </w:pPr>
          </w:p>
        </w:tc>
        <w:tc>
          <w:tcPr>
            <w:tcW w:w="3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1,095,274</w:t>
            </w:r>
          </w:p>
        </w:tc>
        <w:tc>
          <w:tcPr>
            <w:tcW w:w="120" w:type="dxa"/>
            <w:vAlign w:val="bottom"/>
          </w:tcPr>
          <w:p>
            <w:pPr>
              <w:spacing w:after="0"/>
              <w:rPr>
                <w:sz w:val="21"/>
                <w:szCs w:val="21"/>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670,980</w:t>
            </w:r>
          </w:p>
        </w:tc>
        <w:tc>
          <w:tcPr>
            <w:tcW w:w="0" w:type="dxa"/>
            <w:vAlign w:val="bottom"/>
          </w:tcPr>
          <w:p>
            <w:pPr>
              <w:spacing w:after="0"/>
              <w:rPr>
                <w:sz w:val="1"/>
                <w:szCs w:val="1"/>
                <w:color w:val="auto"/>
              </w:rPr>
            </w:pPr>
          </w:p>
        </w:tc>
      </w:tr>
      <w:tr>
        <w:trPr>
          <w:trHeight w:val="20"/>
        </w:trPr>
        <w:tc>
          <w:tcPr>
            <w:tcW w:w="6640" w:type="dxa"/>
            <w:vAlign w:val="bottom"/>
            <w:vMerge w:val="restart"/>
          </w:tcPr>
          <w:p>
            <w:pPr>
              <w:spacing w:after="0"/>
              <w:rPr>
                <w:sz w:val="20"/>
                <w:szCs w:val="20"/>
                <w:color w:val="auto"/>
              </w:rPr>
            </w:pPr>
            <w:r>
              <w:rPr>
                <w:rFonts w:ascii="Arial" w:cs="Arial" w:eastAsia="Arial" w:hAnsi="Arial"/>
                <w:sz w:val="18"/>
                <w:szCs w:val="18"/>
                <w:color w:val="auto"/>
              </w:rPr>
              <w:t>Income taxes paid (net of refunds)</w:t>
            </w:r>
          </w:p>
        </w:tc>
        <w:tc>
          <w:tcPr>
            <w:tcW w:w="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640" w:type="dxa"/>
            <w:vAlign w:val="bottom"/>
            <w:vMerge w:val="continue"/>
          </w:tcPr>
          <w:p>
            <w:pPr>
              <w:spacing w:after="0"/>
              <w:rPr>
                <w:sz w:val="18"/>
                <w:szCs w:val="18"/>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65,621</w:t>
            </w:r>
          </w:p>
        </w:tc>
        <w:tc>
          <w:tcPr>
            <w:tcW w:w="120" w:type="dxa"/>
            <w:vAlign w:val="bottom"/>
          </w:tcPr>
          <w:p>
            <w:pPr>
              <w:spacing w:after="0"/>
              <w:rPr>
                <w:sz w:val="18"/>
                <w:szCs w:val="18"/>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75,342</w:t>
            </w:r>
          </w:p>
        </w:tc>
        <w:tc>
          <w:tcPr>
            <w:tcW w:w="120" w:type="dxa"/>
            <w:vAlign w:val="bottom"/>
          </w:tcPr>
          <w:p>
            <w:pPr>
              <w:spacing w:after="0"/>
              <w:rPr>
                <w:sz w:val="18"/>
                <w:szCs w:val="18"/>
                <w:color w:val="auto"/>
              </w:rPr>
            </w:pP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66,372</w:t>
            </w:r>
          </w:p>
        </w:tc>
        <w:tc>
          <w:tcPr>
            <w:tcW w:w="0" w:type="dxa"/>
            <w:vAlign w:val="bottom"/>
          </w:tcPr>
          <w:p>
            <w:pPr>
              <w:spacing w:after="0"/>
              <w:rPr>
                <w:sz w:val="1"/>
                <w:szCs w:val="1"/>
                <w:color w:val="auto"/>
              </w:rPr>
            </w:pPr>
          </w:p>
        </w:tc>
      </w:tr>
      <w:tr>
        <w:trPr>
          <w:trHeight w:val="242"/>
        </w:trPr>
        <w:tc>
          <w:tcPr>
            <w:tcW w:w="6640" w:type="dxa"/>
            <w:vAlign w:val="bottom"/>
          </w:tcPr>
          <w:p>
            <w:pPr>
              <w:spacing w:after="0"/>
              <w:rPr>
                <w:sz w:val="20"/>
                <w:szCs w:val="20"/>
                <w:color w:val="auto"/>
              </w:rPr>
            </w:pPr>
            <w:r>
              <w:rPr>
                <w:rFonts w:ascii="Arial" w:cs="Arial" w:eastAsia="Arial" w:hAnsi="Arial"/>
                <w:sz w:val="18"/>
                <w:szCs w:val="18"/>
                <w:color w:val="auto"/>
              </w:rPr>
              <w:t>Interest paid</w:t>
            </w: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72,247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57,041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53,607</w:t>
            </w:r>
          </w:p>
        </w:tc>
        <w:tc>
          <w:tcPr>
            <w:tcW w:w="0" w:type="dxa"/>
            <w:vAlign w:val="bottom"/>
          </w:tcPr>
          <w:p>
            <w:pPr>
              <w:spacing w:after="0"/>
              <w:rPr>
                <w:sz w:val="1"/>
                <w:szCs w:val="1"/>
                <w:color w:val="auto"/>
              </w:rPr>
            </w:pPr>
          </w:p>
        </w:tc>
      </w:tr>
      <w:tr>
        <w:trPr>
          <w:trHeight w:val="196"/>
        </w:trPr>
        <w:tc>
          <w:tcPr>
            <w:tcW w:w="664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35" w:right="339" w:bottom="1440" w:gutter="0" w:footer="0" w:header="0"/>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CONSOLIDATED QUARTERLY FINANCIAL DATA</w:t>
            </w:r>
          </w:p>
        </w:tc>
        <w:tc>
          <w:tcPr>
            <w:tcW w:w="3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(Unaudited)</w:t>
            </w:r>
          </w:p>
        </w:tc>
        <w:tc>
          <w:tcPr>
            <w:tcW w:w="3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(Amounts in millions, except per share data)</w:t>
            </w:r>
          </w:p>
        </w:tc>
        <w:tc>
          <w:tcPr>
            <w:tcW w:w="3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5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3"/>
          </w:tcPr>
          <w:p>
            <w:pPr>
              <w:jc w:val="right"/>
              <w:ind w:right="130"/>
              <w:spacing w:after="0"/>
              <w:rPr>
                <w:sz w:val="20"/>
                <w:szCs w:val="20"/>
                <w:color w:val="auto"/>
              </w:rPr>
            </w:pPr>
            <w:r>
              <w:rPr>
                <w:rFonts w:ascii="Arial" w:cs="Arial" w:eastAsia="Arial" w:hAnsi="Arial"/>
                <w:sz w:val="18"/>
                <w:szCs w:val="18"/>
                <w:b w:val="1"/>
                <w:bCs w:val="1"/>
                <w:color w:val="auto"/>
              </w:rPr>
              <w:t>2021</w:t>
            </w:r>
          </w:p>
        </w:tc>
        <w:tc>
          <w:tcPr>
            <w:tcW w:w="10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r>
      <w:tr>
        <w:trPr>
          <w:trHeight w:val="239"/>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Quarter</w:t>
            </w:r>
          </w:p>
        </w:tc>
        <w:tc>
          <w:tcPr>
            <w:tcW w:w="340" w:type="dxa"/>
            <w:vAlign w:val="bottom"/>
          </w:tcPr>
          <w:p>
            <w:pPr>
              <w:spacing w:after="0"/>
              <w:rPr>
                <w:sz w:val="20"/>
                <w:szCs w:val="20"/>
                <w:color w:val="auto"/>
              </w:rPr>
            </w:pPr>
          </w:p>
        </w:tc>
        <w:tc>
          <w:tcPr>
            <w:tcW w:w="1160" w:type="dxa"/>
            <w:vAlign w:val="bottom"/>
            <w:gridSpan w:val="2"/>
          </w:tcPr>
          <w:p>
            <w:pPr>
              <w:ind w:left="220"/>
              <w:spacing w:after="0"/>
              <w:rPr>
                <w:sz w:val="20"/>
                <w:szCs w:val="20"/>
                <w:color w:val="auto"/>
              </w:rPr>
            </w:pPr>
            <w:r>
              <w:rPr>
                <w:rFonts w:ascii="Arial" w:cs="Arial" w:eastAsia="Arial" w:hAnsi="Arial"/>
                <w:sz w:val="18"/>
                <w:szCs w:val="18"/>
                <w:b w:val="1"/>
                <w:bCs w:val="1"/>
                <w:color w:val="auto"/>
              </w:rPr>
              <w:t>4th</w:t>
            </w:r>
          </w:p>
        </w:tc>
        <w:tc>
          <w:tcPr>
            <w:tcW w:w="320" w:type="dxa"/>
            <w:vAlign w:val="bottom"/>
          </w:tcPr>
          <w:p>
            <w:pPr>
              <w:spacing w:after="0"/>
              <w:rPr>
                <w:sz w:val="20"/>
                <w:szCs w:val="20"/>
                <w:color w:val="auto"/>
              </w:rPr>
            </w:pPr>
          </w:p>
        </w:tc>
        <w:tc>
          <w:tcPr>
            <w:tcW w:w="1120" w:type="dxa"/>
            <w:vAlign w:val="bottom"/>
            <w:gridSpan w:val="2"/>
          </w:tcPr>
          <w:p>
            <w:pPr>
              <w:ind w:left="200"/>
              <w:spacing w:after="0"/>
              <w:rPr>
                <w:sz w:val="20"/>
                <w:szCs w:val="20"/>
                <w:color w:val="auto"/>
              </w:rPr>
            </w:pPr>
            <w:r>
              <w:rPr>
                <w:rFonts w:ascii="Arial" w:cs="Arial" w:eastAsia="Arial" w:hAnsi="Arial"/>
                <w:sz w:val="18"/>
                <w:szCs w:val="18"/>
                <w:b w:val="1"/>
                <w:bCs w:val="1"/>
                <w:color w:val="auto"/>
              </w:rPr>
              <w:t>3rd</w:t>
            </w:r>
          </w:p>
        </w:tc>
        <w:tc>
          <w:tcPr>
            <w:tcW w:w="320" w:type="dxa"/>
            <w:vAlign w:val="bottom"/>
          </w:tcPr>
          <w:p>
            <w:pPr>
              <w:spacing w:after="0"/>
              <w:rPr>
                <w:sz w:val="20"/>
                <w:szCs w:val="20"/>
                <w:color w:val="auto"/>
              </w:rPr>
            </w:pPr>
          </w:p>
        </w:tc>
        <w:tc>
          <w:tcPr>
            <w:tcW w:w="1120" w:type="dxa"/>
            <w:vAlign w:val="bottom"/>
            <w:gridSpan w:val="2"/>
          </w:tcPr>
          <w:p>
            <w:pPr>
              <w:ind w:left="200"/>
              <w:spacing w:after="0"/>
              <w:rPr>
                <w:sz w:val="20"/>
                <w:szCs w:val="20"/>
                <w:color w:val="auto"/>
              </w:rPr>
            </w:pPr>
            <w:r>
              <w:rPr>
                <w:rFonts w:ascii="Arial" w:cs="Arial" w:eastAsia="Arial" w:hAnsi="Arial"/>
                <w:sz w:val="18"/>
                <w:szCs w:val="18"/>
                <w:b w:val="1"/>
                <w:bCs w:val="1"/>
                <w:color w:val="auto"/>
              </w:rPr>
              <w:t>2nd</w:t>
            </w:r>
          </w:p>
        </w:tc>
        <w:tc>
          <w:tcPr>
            <w:tcW w:w="340" w:type="dxa"/>
            <w:vAlign w:val="bottom"/>
          </w:tcPr>
          <w:p>
            <w:pPr>
              <w:spacing w:after="0"/>
              <w:rPr>
                <w:sz w:val="20"/>
                <w:szCs w:val="20"/>
                <w:color w:val="auto"/>
              </w:rPr>
            </w:pPr>
          </w:p>
        </w:tc>
        <w:tc>
          <w:tcPr>
            <w:tcW w:w="1000" w:type="dxa"/>
            <w:vAlign w:val="bottom"/>
          </w:tcPr>
          <w:p>
            <w:pPr>
              <w:jc w:val="right"/>
              <w:ind w:right="470"/>
              <w:spacing w:after="0"/>
              <w:rPr>
                <w:sz w:val="20"/>
                <w:szCs w:val="20"/>
                <w:color w:val="auto"/>
              </w:rPr>
            </w:pPr>
            <w:r>
              <w:rPr>
                <w:rFonts w:ascii="Arial" w:cs="Arial" w:eastAsia="Arial" w:hAnsi="Arial"/>
                <w:sz w:val="18"/>
                <w:szCs w:val="18"/>
                <w:b w:val="1"/>
                <w:bCs w:val="1"/>
                <w:color w:val="auto"/>
              </w:rPr>
              <w:t>1st</w:t>
            </w:r>
          </w:p>
        </w:tc>
        <w:tc>
          <w:tcPr>
            <w:tcW w:w="20" w:type="dxa"/>
            <w:vAlign w:val="bottom"/>
          </w:tcPr>
          <w:p>
            <w:pPr>
              <w:spacing w:after="0"/>
              <w:rPr>
                <w:sz w:val="20"/>
                <w:szCs w:val="20"/>
                <w:color w:val="auto"/>
              </w:rPr>
            </w:pPr>
          </w:p>
        </w:tc>
      </w:tr>
      <w:tr>
        <w:trPr>
          <w:trHeight w:val="228"/>
        </w:trPr>
        <w:tc>
          <w:tcPr>
            <w:tcW w:w="54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Sales</w:t>
            </w:r>
          </w:p>
        </w:tc>
        <w:tc>
          <w:tcPr>
            <w:tcW w:w="120" w:type="dxa"/>
            <w:vAlign w:val="bottom"/>
          </w:tcPr>
          <w:p>
            <w:pPr>
              <w:spacing w:after="0"/>
              <w:rPr>
                <w:sz w:val="19"/>
                <w:szCs w:val="19"/>
                <w:color w:val="auto"/>
              </w:rPr>
            </w:pPr>
          </w:p>
        </w:tc>
        <w:tc>
          <w:tcPr>
            <w:tcW w:w="34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919.5</w:t>
            </w:r>
          </w:p>
        </w:tc>
        <w:tc>
          <w:tcPr>
            <w:tcW w:w="120" w:type="dxa"/>
            <w:vAlign w:val="bottom"/>
          </w:tcPr>
          <w:p>
            <w:pPr>
              <w:spacing w:after="0"/>
              <w:rPr>
                <w:sz w:val="19"/>
                <w:szCs w:val="19"/>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866.1</w:t>
            </w:r>
          </w:p>
        </w:tc>
        <w:tc>
          <w:tcPr>
            <w:tcW w:w="100" w:type="dxa"/>
            <w:vAlign w:val="bottom"/>
          </w:tcPr>
          <w:p>
            <w:pPr>
              <w:spacing w:after="0"/>
              <w:rPr>
                <w:sz w:val="19"/>
                <w:szCs w:val="19"/>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898.2</w:t>
            </w:r>
          </w:p>
        </w:tc>
        <w:tc>
          <w:tcPr>
            <w:tcW w:w="100" w:type="dxa"/>
            <w:vAlign w:val="bottom"/>
          </w:tcPr>
          <w:p>
            <w:pPr>
              <w:spacing w:after="0"/>
              <w:rPr>
                <w:sz w:val="19"/>
                <w:szCs w:val="19"/>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857.3</w:t>
            </w:r>
          </w:p>
        </w:tc>
        <w:tc>
          <w:tcPr>
            <w:tcW w:w="20" w:type="dxa"/>
            <w:vAlign w:val="bottom"/>
          </w:tcPr>
          <w:p>
            <w:pPr>
              <w:spacing w:after="0"/>
              <w:rPr>
                <w:sz w:val="19"/>
                <w:szCs w:val="19"/>
                <w:color w:val="auto"/>
              </w:rPr>
            </w:pPr>
          </w:p>
        </w:tc>
      </w:tr>
      <w:tr>
        <w:trPr>
          <w:trHeight w:val="242"/>
        </w:trPr>
        <w:tc>
          <w:tcPr>
            <w:tcW w:w="552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267.1</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253.5</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278.2</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250.9</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Earnings before income taxes</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20.8</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41.4</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50.5</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21.0</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Net earnings attributable to Flowserve Corporation</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16.7</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49.8</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45.4</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14.1</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Earnings per share(1):</w:t>
            </w:r>
          </w:p>
        </w:tc>
        <w:tc>
          <w:tcPr>
            <w:tcW w:w="3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520" w:type="dxa"/>
            <w:vAlign w:val="bottom"/>
            <w:gridSpan w:val="2"/>
          </w:tcPr>
          <w:p>
            <w:pPr>
              <w:ind w:left="220"/>
              <w:spacing w:after="0"/>
              <w:rPr>
                <w:sz w:val="20"/>
                <w:szCs w:val="20"/>
                <w:color w:val="auto"/>
              </w:rPr>
            </w:pPr>
            <w:r>
              <w:rPr>
                <w:rFonts w:ascii="Arial" w:cs="Arial" w:eastAsia="Arial" w:hAnsi="Arial"/>
                <w:sz w:val="18"/>
                <w:szCs w:val="18"/>
                <w:color w:val="auto"/>
              </w:rPr>
              <w:t>Basic</w:t>
            </w: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0.13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0.38</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0.35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0.11</w:t>
            </w:r>
          </w:p>
        </w:tc>
      </w:tr>
      <w:tr>
        <w:trPr>
          <w:trHeight w:val="243"/>
        </w:trPr>
        <w:tc>
          <w:tcPr>
            <w:tcW w:w="5520" w:type="dxa"/>
            <w:vAlign w:val="bottom"/>
            <w:gridSpan w:val="2"/>
          </w:tcPr>
          <w:p>
            <w:pPr>
              <w:ind w:left="220"/>
              <w:spacing w:after="0"/>
              <w:rPr>
                <w:sz w:val="20"/>
                <w:szCs w:val="20"/>
                <w:color w:val="auto"/>
              </w:rPr>
            </w:pPr>
            <w:r>
              <w:rPr>
                <w:rFonts w:ascii="Arial" w:cs="Arial" w:eastAsia="Arial" w:hAnsi="Arial"/>
                <w:sz w:val="18"/>
                <w:szCs w:val="18"/>
                <w:color w:val="auto"/>
              </w:rPr>
              <w:t>Diluted</w:t>
            </w: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0.13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0.38</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0.35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0.11</w:t>
            </w:r>
          </w:p>
        </w:tc>
      </w:tr>
      <w:tr>
        <w:trPr>
          <w:trHeight w:val="736"/>
        </w:trPr>
        <w:tc>
          <w:tcPr>
            <w:tcW w:w="5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3"/>
          </w:tcPr>
          <w:p>
            <w:pPr>
              <w:jc w:val="right"/>
              <w:ind w:right="130"/>
              <w:spacing w:after="0"/>
              <w:rPr>
                <w:sz w:val="20"/>
                <w:szCs w:val="20"/>
                <w:color w:val="auto"/>
              </w:rPr>
            </w:pPr>
            <w:r>
              <w:rPr>
                <w:rFonts w:ascii="Arial" w:cs="Arial" w:eastAsia="Arial" w:hAnsi="Arial"/>
                <w:sz w:val="18"/>
                <w:szCs w:val="18"/>
                <w:b w:val="1"/>
                <w:bCs w:val="1"/>
                <w:color w:val="auto"/>
              </w:rPr>
              <w:t>2020</w:t>
            </w: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239"/>
        </w:trPr>
        <w:tc>
          <w:tcPr>
            <w:tcW w:w="5520" w:type="dxa"/>
            <w:vAlign w:val="bottom"/>
            <w:gridSpan w:val="2"/>
          </w:tcPr>
          <w:p>
            <w:pPr>
              <w:spacing w:after="0"/>
              <w:rPr>
                <w:sz w:val="20"/>
                <w:szCs w:val="20"/>
                <w:color w:val="auto"/>
              </w:rPr>
            </w:pPr>
            <w:r>
              <w:rPr>
                <w:rFonts w:ascii="Arial" w:cs="Arial" w:eastAsia="Arial" w:hAnsi="Arial"/>
                <w:sz w:val="18"/>
                <w:szCs w:val="18"/>
                <w:b w:val="1"/>
                <w:bCs w:val="1"/>
                <w:color w:val="auto"/>
              </w:rPr>
              <w:t>Quarter</w:t>
            </w:r>
          </w:p>
        </w:tc>
        <w:tc>
          <w:tcPr>
            <w:tcW w:w="340" w:type="dxa"/>
            <w:vAlign w:val="bottom"/>
          </w:tcPr>
          <w:p>
            <w:pPr>
              <w:spacing w:after="0"/>
              <w:rPr>
                <w:sz w:val="20"/>
                <w:szCs w:val="20"/>
                <w:color w:val="auto"/>
              </w:rPr>
            </w:pPr>
          </w:p>
        </w:tc>
        <w:tc>
          <w:tcPr>
            <w:tcW w:w="1160" w:type="dxa"/>
            <w:vAlign w:val="bottom"/>
            <w:gridSpan w:val="2"/>
          </w:tcPr>
          <w:p>
            <w:pPr>
              <w:ind w:left="220"/>
              <w:spacing w:after="0"/>
              <w:rPr>
                <w:sz w:val="20"/>
                <w:szCs w:val="20"/>
                <w:color w:val="auto"/>
              </w:rPr>
            </w:pPr>
            <w:r>
              <w:rPr>
                <w:rFonts w:ascii="Arial" w:cs="Arial" w:eastAsia="Arial" w:hAnsi="Arial"/>
                <w:sz w:val="18"/>
                <w:szCs w:val="18"/>
                <w:b w:val="1"/>
                <w:bCs w:val="1"/>
                <w:color w:val="auto"/>
              </w:rPr>
              <w:t>4th</w:t>
            </w:r>
          </w:p>
        </w:tc>
        <w:tc>
          <w:tcPr>
            <w:tcW w:w="320" w:type="dxa"/>
            <w:vAlign w:val="bottom"/>
          </w:tcPr>
          <w:p>
            <w:pPr>
              <w:spacing w:after="0"/>
              <w:rPr>
                <w:sz w:val="20"/>
                <w:szCs w:val="20"/>
                <w:color w:val="auto"/>
              </w:rPr>
            </w:pPr>
          </w:p>
        </w:tc>
        <w:tc>
          <w:tcPr>
            <w:tcW w:w="1120" w:type="dxa"/>
            <w:vAlign w:val="bottom"/>
            <w:gridSpan w:val="2"/>
          </w:tcPr>
          <w:p>
            <w:pPr>
              <w:ind w:left="200"/>
              <w:spacing w:after="0"/>
              <w:rPr>
                <w:sz w:val="20"/>
                <w:szCs w:val="20"/>
                <w:color w:val="auto"/>
              </w:rPr>
            </w:pPr>
            <w:r>
              <w:rPr>
                <w:rFonts w:ascii="Arial" w:cs="Arial" w:eastAsia="Arial" w:hAnsi="Arial"/>
                <w:sz w:val="18"/>
                <w:szCs w:val="18"/>
                <w:b w:val="1"/>
                <w:bCs w:val="1"/>
                <w:color w:val="auto"/>
              </w:rPr>
              <w:t>3rd</w:t>
            </w:r>
          </w:p>
        </w:tc>
        <w:tc>
          <w:tcPr>
            <w:tcW w:w="320" w:type="dxa"/>
            <w:vAlign w:val="bottom"/>
          </w:tcPr>
          <w:p>
            <w:pPr>
              <w:spacing w:after="0"/>
              <w:rPr>
                <w:sz w:val="20"/>
                <w:szCs w:val="20"/>
                <w:color w:val="auto"/>
              </w:rPr>
            </w:pPr>
          </w:p>
        </w:tc>
        <w:tc>
          <w:tcPr>
            <w:tcW w:w="1120" w:type="dxa"/>
            <w:vAlign w:val="bottom"/>
            <w:gridSpan w:val="2"/>
          </w:tcPr>
          <w:p>
            <w:pPr>
              <w:ind w:left="200"/>
              <w:spacing w:after="0"/>
              <w:rPr>
                <w:sz w:val="20"/>
                <w:szCs w:val="20"/>
                <w:color w:val="auto"/>
              </w:rPr>
            </w:pPr>
            <w:r>
              <w:rPr>
                <w:rFonts w:ascii="Arial" w:cs="Arial" w:eastAsia="Arial" w:hAnsi="Arial"/>
                <w:sz w:val="18"/>
                <w:szCs w:val="18"/>
                <w:b w:val="1"/>
                <w:bCs w:val="1"/>
                <w:color w:val="auto"/>
              </w:rPr>
              <w:t>2nd</w:t>
            </w:r>
          </w:p>
        </w:tc>
        <w:tc>
          <w:tcPr>
            <w:tcW w:w="340" w:type="dxa"/>
            <w:vAlign w:val="bottom"/>
          </w:tcPr>
          <w:p>
            <w:pPr>
              <w:spacing w:after="0"/>
              <w:rPr>
                <w:sz w:val="20"/>
                <w:szCs w:val="20"/>
                <w:color w:val="auto"/>
              </w:rPr>
            </w:pPr>
          </w:p>
        </w:tc>
        <w:tc>
          <w:tcPr>
            <w:tcW w:w="1000" w:type="dxa"/>
            <w:vAlign w:val="bottom"/>
          </w:tcPr>
          <w:p>
            <w:pPr>
              <w:jc w:val="right"/>
              <w:ind w:right="470"/>
              <w:spacing w:after="0"/>
              <w:rPr>
                <w:sz w:val="20"/>
                <w:szCs w:val="20"/>
                <w:color w:val="auto"/>
              </w:rPr>
            </w:pPr>
            <w:r>
              <w:rPr>
                <w:rFonts w:ascii="Arial" w:cs="Arial" w:eastAsia="Arial" w:hAnsi="Arial"/>
                <w:sz w:val="18"/>
                <w:szCs w:val="18"/>
                <w:b w:val="1"/>
                <w:bCs w:val="1"/>
                <w:color w:val="auto"/>
              </w:rPr>
              <w:t>1st</w:t>
            </w:r>
          </w:p>
        </w:tc>
        <w:tc>
          <w:tcPr>
            <w:tcW w:w="20" w:type="dxa"/>
            <w:vAlign w:val="bottom"/>
          </w:tcPr>
          <w:p>
            <w:pPr>
              <w:spacing w:after="0"/>
              <w:rPr>
                <w:sz w:val="20"/>
                <w:szCs w:val="20"/>
                <w:color w:val="auto"/>
              </w:rPr>
            </w:pPr>
          </w:p>
        </w:tc>
      </w:tr>
      <w:tr>
        <w:trPr>
          <w:trHeight w:val="228"/>
        </w:trPr>
        <w:tc>
          <w:tcPr>
            <w:tcW w:w="54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Sales</w:t>
            </w:r>
          </w:p>
        </w:tc>
        <w:tc>
          <w:tcPr>
            <w:tcW w:w="120" w:type="dxa"/>
            <w:vAlign w:val="bottom"/>
          </w:tcPr>
          <w:p>
            <w:pPr>
              <w:spacing w:after="0"/>
              <w:rPr>
                <w:sz w:val="19"/>
                <w:szCs w:val="19"/>
                <w:color w:val="auto"/>
              </w:rPr>
            </w:pPr>
          </w:p>
        </w:tc>
        <w:tc>
          <w:tcPr>
            <w:tcW w:w="34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985.3</w:t>
            </w:r>
          </w:p>
        </w:tc>
        <w:tc>
          <w:tcPr>
            <w:tcW w:w="120" w:type="dxa"/>
            <w:vAlign w:val="bottom"/>
          </w:tcPr>
          <w:p>
            <w:pPr>
              <w:spacing w:after="0"/>
              <w:rPr>
                <w:sz w:val="19"/>
                <w:szCs w:val="19"/>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924.3</w:t>
            </w:r>
          </w:p>
        </w:tc>
        <w:tc>
          <w:tcPr>
            <w:tcW w:w="100" w:type="dxa"/>
            <w:vAlign w:val="bottom"/>
          </w:tcPr>
          <w:p>
            <w:pPr>
              <w:spacing w:after="0"/>
              <w:rPr>
                <w:sz w:val="19"/>
                <w:szCs w:val="19"/>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925.0</w:t>
            </w:r>
          </w:p>
        </w:tc>
        <w:tc>
          <w:tcPr>
            <w:tcW w:w="100" w:type="dxa"/>
            <w:vAlign w:val="bottom"/>
          </w:tcPr>
          <w:p>
            <w:pPr>
              <w:spacing w:after="0"/>
              <w:rPr>
                <w:sz w:val="19"/>
                <w:szCs w:val="19"/>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893.5</w:t>
            </w:r>
          </w:p>
        </w:tc>
        <w:tc>
          <w:tcPr>
            <w:tcW w:w="20" w:type="dxa"/>
            <w:vAlign w:val="bottom"/>
          </w:tcPr>
          <w:p>
            <w:pPr>
              <w:spacing w:after="0"/>
              <w:rPr>
                <w:sz w:val="19"/>
                <w:szCs w:val="19"/>
                <w:color w:val="auto"/>
              </w:rPr>
            </w:pPr>
          </w:p>
        </w:tc>
      </w:tr>
      <w:tr>
        <w:trPr>
          <w:trHeight w:val="242"/>
        </w:trPr>
        <w:tc>
          <w:tcPr>
            <w:tcW w:w="552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295.4</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285.2</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269.7</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266.5</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Earnings before income taxes</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60.4</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78.0</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12.8</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51.2</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Net earnings attributable to Flowserve Corporation</w:t>
            </w:r>
          </w:p>
        </w:tc>
        <w:tc>
          <w:tcPr>
            <w:tcW w:w="340" w:type="dxa"/>
            <w:vAlign w:val="bottom"/>
          </w:tcPr>
          <w:p>
            <w:pPr>
              <w:spacing w:after="0"/>
              <w:rPr>
                <w:sz w:val="21"/>
                <w:szCs w:val="21"/>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56.1</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56.1</w:t>
            </w:r>
          </w:p>
        </w:tc>
        <w:tc>
          <w:tcPr>
            <w:tcW w:w="320" w:type="dxa"/>
            <w:vAlign w:val="bottom"/>
          </w:tcPr>
          <w:p>
            <w:pPr>
              <w:spacing w:after="0"/>
              <w:rPr>
                <w:sz w:val="21"/>
                <w:szCs w:val="21"/>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340" w:type="dxa"/>
            <w:vAlign w:val="bottom"/>
          </w:tcPr>
          <w:p>
            <w:pPr>
              <w:spacing w:after="0"/>
              <w:rPr>
                <w:sz w:val="21"/>
                <w:szCs w:val="21"/>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12.1</w:t>
            </w:r>
          </w:p>
        </w:tc>
      </w:tr>
      <w:tr>
        <w:trPr>
          <w:trHeight w:val="243"/>
        </w:trPr>
        <w:tc>
          <w:tcPr>
            <w:tcW w:w="5520" w:type="dxa"/>
            <w:vAlign w:val="bottom"/>
            <w:gridSpan w:val="2"/>
          </w:tcPr>
          <w:p>
            <w:pPr>
              <w:spacing w:after="0"/>
              <w:rPr>
                <w:sz w:val="20"/>
                <w:szCs w:val="20"/>
                <w:color w:val="auto"/>
              </w:rPr>
            </w:pPr>
            <w:r>
              <w:rPr>
                <w:rFonts w:ascii="Arial" w:cs="Arial" w:eastAsia="Arial" w:hAnsi="Arial"/>
                <w:sz w:val="18"/>
                <w:szCs w:val="18"/>
                <w:color w:val="auto"/>
              </w:rPr>
              <w:t>Earnings per share (1):</w:t>
            </w:r>
          </w:p>
        </w:tc>
        <w:tc>
          <w:tcPr>
            <w:tcW w:w="3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5520" w:type="dxa"/>
            <w:vAlign w:val="bottom"/>
            <w:gridSpan w:val="2"/>
          </w:tcPr>
          <w:p>
            <w:pPr>
              <w:ind w:left="220"/>
              <w:spacing w:after="0"/>
              <w:rPr>
                <w:sz w:val="20"/>
                <w:szCs w:val="20"/>
                <w:color w:val="auto"/>
              </w:rPr>
            </w:pPr>
            <w:r>
              <w:rPr>
                <w:rFonts w:ascii="Arial" w:cs="Arial" w:eastAsia="Arial" w:hAnsi="Arial"/>
                <w:sz w:val="18"/>
                <w:szCs w:val="18"/>
                <w:color w:val="auto"/>
              </w:rPr>
              <w:t>Basic</w:t>
            </w: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0.43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0.43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0.05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0.09</w:t>
            </w:r>
          </w:p>
        </w:tc>
      </w:tr>
      <w:tr>
        <w:trPr>
          <w:trHeight w:val="243"/>
        </w:trPr>
        <w:tc>
          <w:tcPr>
            <w:tcW w:w="5520" w:type="dxa"/>
            <w:vAlign w:val="bottom"/>
            <w:gridSpan w:val="2"/>
          </w:tcPr>
          <w:p>
            <w:pPr>
              <w:ind w:left="220"/>
              <w:spacing w:after="0"/>
              <w:rPr>
                <w:sz w:val="20"/>
                <w:szCs w:val="20"/>
                <w:color w:val="auto"/>
              </w:rPr>
            </w:pPr>
            <w:r>
              <w:rPr>
                <w:rFonts w:ascii="Arial" w:cs="Arial" w:eastAsia="Arial" w:hAnsi="Arial"/>
                <w:sz w:val="18"/>
                <w:szCs w:val="18"/>
                <w:color w:val="auto"/>
              </w:rPr>
              <w:t>Diluted</w:t>
            </w: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0.43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0.43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0.05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0.09</w:t>
            </w:r>
          </w:p>
        </w:tc>
      </w:tr>
    </w:tbl>
    <w:p>
      <w:pPr>
        <w:spacing w:after="0" w:line="256" w:lineRule="exact"/>
        <w:rPr>
          <w:sz w:val="20"/>
          <w:szCs w:val="20"/>
          <w:color w:val="auto"/>
        </w:rPr>
      </w:pPr>
    </w:p>
    <w:p>
      <w:pPr>
        <w:ind w:right="20" w:firstLine="8"/>
        <w:spacing w:after="0" w:line="277" w:lineRule="auto"/>
        <w:tabs>
          <w:tab w:leader="none" w:pos="255" w:val="left"/>
        </w:tabs>
        <w:numPr>
          <w:ilvl w:val="0"/>
          <w:numId w:val="8"/>
        </w:numPr>
        <w:rPr>
          <w:rFonts w:ascii="Arial" w:cs="Arial" w:eastAsia="Arial" w:hAnsi="Arial"/>
          <w:sz w:val="18"/>
          <w:szCs w:val="18"/>
          <w:color w:val="auto"/>
        </w:rPr>
      </w:pPr>
      <w:r>
        <w:rPr>
          <w:rFonts w:ascii="Arial" w:cs="Arial" w:eastAsia="Arial" w:hAnsi="Arial"/>
          <w:sz w:val="18"/>
          <w:szCs w:val="18"/>
          <w:color w:val="auto"/>
        </w:rPr>
        <w:t>Earnings per share is computed independently for each of the quarters presented. The sum of the quarters may not equal the total year amount due to the impact of changes in weighted average quarterly shares outstanding or rounding.</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Contacts:</w:t>
      </w:r>
    </w:p>
    <w:p>
      <w:pPr>
        <w:spacing w:after="0" w:line="8" w:lineRule="exact"/>
        <w:rPr>
          <w:sz w:val="20"/>
          <w:szCs w:val="20"/>
          <w:color w:val="auto"/>
        </w:rPr>
      </w:pPr>
    </w:p>
    <w:p>
      <w:pPr>
        <w:ind w:right="4540"/>
        <w:spacing w:after="0" w:line="236"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443-6636</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Communications &amp; Public Affairs, (972) 443-6644</w:t>
      </w:r>
    </w:p>
    <w:sectPr>
      <w:pgSz w:w="11900" w:h="16838" w:orient="portrait"/>
      <w:cols w:equalWidth="0" w:num="1">
        <w:col w:w="11240"/>
      </w:cols>
      <w:pgMar w:left="320" w:top="13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4"/>
    </w:lvl>
  </w:abstractNum>
  <w:abstractNum w:abstractNumId="2">
    <w:nsid w:val="3D1B58BA"/>
    <w:multiLevelType w:val="hybridMultilevel"/>
    <w:lvl w:ilvl="0">
      <w:lvlJc w:val="left"/>
      <w:lvlText w:val="1"/>
      <w:numFmt w:val="bullet"/>
      <w:start w:val="1"/>
    </w:lvl>
  </w:abstractNum>
  <w:abstractNum w:abstractNumId="3">
    <w:nsid w:val="507ED7AB"/>
    <w:multiLevelType w:val="hybridMultilevel"/>
    <w:lvl w:ilvl="0">
      <w:lvlJc w:val="left"/>
      <w:lvlText w:val="(%1)"/>
      <w:numFmt w:val="decimal"/>
      <w:start w:val="1"/>
    </w:lvl>
  </w:abstractNum>
  <w:abstractNum w:abstractNumId="4">
    <w:nsid w:val="2EB141F2"/>
    <w:multiLevelType w:val="hybridMultilevel"/>
    <w:lvl w:ilvl="0">
      <w:lvlJc w:val="left"/>
      <w:lvlText w:val="(%1)"/>
      <w:numFmt w:val="decimal"/>
      <w:start w:val="1"/>
    </w:lvl>
  </w:abstractNum>
  <w:abstractNum w:abstractNumId="5">
    <w:nsid w:val="41B71EFB"/>
    <w:multiLevelType w:val="hybridMultilevel"/>
    <w:lvl w:ilvl="0">
      <w:lvlJc w:val="left"/>
      <w:lvlText w:val="(%1)"/>
      <w:numFmt w:val="decimal"/>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2022-02-23T15:30:18Z</dcterms:created>
  <dcterms:modified xsi:type="dcterms:W3CDTF">2022-02-23T15:30:18Z</dcterms:modified>
</cp:coreProperties>
</file>