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SEC Form 3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7317740" cy="2461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46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3" w:right="199" w:bottom="1440" w:gutter="0" w:footer="0" w:header="0"/>
        </w:sectPr>
      </w:pP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Times New Roman" w:cs="Times New Roman" w:eastAsia="Times New Roman" w:hAnsi="Times New Roman"/>
          <w:sz w:val="14"/>
          <w:szCs w:val="14"/>
          <w:u w:val="single" w:color="auto"/>
          <w:color w:val="0000EE"/>
        </w:rPr>
      </w:pPr>
      <w:hyperlink r:id="rId11">
        <w:r>
          <w:rPr>
            <w:rFonts w:ascii="Times New Roman" w:cs="Times New Roman" w:eastAsia="Times New Roman" w:hAnsi="Times New Roman"/>
            <w:sz w:val="14"/>
            <w:szCs w:val="14"/>
            <w:u w:val="single" w:color="auto"/>
            <w:color w:val="0000EE"/>
          </w:rPr>
          <w:t>Chand Sujeet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46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0000FF"/>
        </w:rPr>
        <w:t>12/12/2019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14"/>
          <w:szCs w:val="14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14"/>
            <w:szCs w:val="14"/>
            <w:u w:val="single" w:color="auto"/>
            <w:color w:val="0000EE"/>
          </w:rPr>
          <w:t>FLOWSERVE CORP</w:t>
        </w:r>
        <w:r>
          <w:rPr>
            <w:rFonts w:ascii="Times New Roman" w:cs="Times New Roman" w:eastAsia="Times New Roman" w:hAnsi="Times New Roman"/>
            <w:sz w:val="14"/>
            <w:szCs w:val="14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14"/>
          <w:szCs w:val="14"/>
          <w:color w:val="000000"/>
        </w:rPr>
        <w:t>[</w:t>
      </w:r>
      <w:r>
        <w:rPr>
          <w:rFonts w:ascii="Times New Roman" w:cs="Times New Roman" w:eastAsia="Times New Roman" w:hAnsi="Times New Roman"/>
          <w:sz w:val="14"/>
          <w:szCs w:val="1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1"/>
          <w:szCs w:val="11"/>
          <w:color w:val="0000FF"/>
        </w:rPr>
        <w:t>FLS</w:t>
      </w:r>
      <w:r>
        <w:rPr>
          <w:rFonts w:ascii="Times New Roman" w:cs="Times New Roman" w:eastAsia="Times New Roman" w:hAnsi="Times New Roman"/>
          <w:sz w:val="14"/>
          <w:szCs w:val="1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4"/>
          <w:szCs w:val="14"/>
          <w:color w:val="000000"/>
        </w:rPr>
        <w:t>]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3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9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5215 N. O'CONNOR BLVD.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SUITE 2300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79"/>
        </w:trPr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IRVING</w:t>
            </w:r>
          </w:p>
        </w:tc>
        <w:tc>
          <w:tcPr>
            <w:tcW w:w="9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TX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75039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63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38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8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Times New Roman" w:cs="Times New Roman" w:eastAsia="Times New Roman" w:hAnsi="Times New Roman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3" w:right="199" w:bottom="1440" w:gutter="0" w:footer="0" w:header="0"/>
          <w:type w:val="continuous"/>
        </w:sectPr>
      </w:pP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Explanation of Responses: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Remarks:</w:t>
      </w:r>
    </w:p>
    <w:p>
      <w:pPr>
        <w:spacing w:after="0" w:line="8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  <w:w w:val="96"/>
              </w:rPr>
              <w:t>/s/ Akshar C. Patel, attorney-in-fact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  <w:w w:val="95"/>
              </w:rPr>
              <w:t>12/17/2019</w:t>
            </w:r>
          </w:p>
        </w:tc>
      </w:tr>
      <w:tr>
        <w:trPr>
          <w:trHeight w:val="152"/>
        </w:trPr>
        <w:tc>
          <w:tcPr>
            <w:tcW w:w="6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</w:tr>
      <w:tr>
        <w:trPr>
          <w:trHeight w:val="135"/>
        </w:trPr>
        <w:tc>
          <w:tcPr>
            <w:tcW w:w="9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9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9"/>
                <w:szCs w:val="9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Instruction 5 (b)(v).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3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Section 16 Power of Attorney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undersigned hereby constitutes and appoints each of R. Scott Rowe, Lanesha Minnix, Akshar C. Patel, and Kevin S. Henderson, signing singly, the undersigned's tr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and/or director of Flowserve Corporation (the "Company"), Forms 3, 4 a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necessary, desirable or appropriate to complete and execute any such Form 3, 4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513" w:lineRule="auto"/>
        <w:tabs>
          <w:tab w:leader="none" w:pos="289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and all other action of any type whatsoever in connection with the foregoing that, in the opinion of such attorney-in-fact, may be of benefit to, in th The undersigned hereby grants to each such attorney-in-fact full power and authority to do and perform any and every act and thing whatsoever requisite, necessary o This Power of Attorney shall remain in full force and effect until the undersigned is no longer required to file Forms 3, 4 and 5 with respect to the undersigned's The undersigned is executing this Power of Attorney on the date set forth below.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Sujeet Chand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Signature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Sujeet Chand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Print Name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December 11, 2019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Date</w:t>
      </w:r>
    </w:p>
    <w:sectPr>
      <w:pgSz w:w="11900" w:h="16838" w:orient="portrait"/>
      <w:cols w:equalWidth="0" w:num="1">
        <w:col w:w="11528"/>
      </w:cols>
      <w:pgMar w:left="212" w:top="119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388884" TargetMode="External"/><Relationship Id="rId12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2019-12-17T15:39:49Z</dcterms:created>
  <dcterms:modified xsi:type="dcterms:W3CDTF">2019-12-17T15:39:49Z</dcterms:modified>
</cp:coreProperties>
</file>