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414655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372110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t>UNITED STATES</w:t>
      </w:r>
    </w:p>
    <w:p>
      <w:pPr>
        <w:spacing w:after="0" w:line="44"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3"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91"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32"/>
          <w:szCs w:val="32"/>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1674" w:right="80" w:hanging="1321"/>
        <w:spacing w:after="0" w:line="238" w:lineRule="auto"/>
        <w:tabs>
          <w:tab w:leader="none" w:pos="1674"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ANNUAL REPORT PURSUANT TO SECTION 15(d) OF THE SECURITIES EXCHANGE ACT OF 1934</w:t>
      </w:r>
    </w:p>
    <w:p>
      <w:pPr>
        <w:spacing w:after="0" w:line="182" w:lineRule="exact"/>
        <w:rPr>
          <w:sz w:val="24"/>
          <w:szCs w:val="24"/>
          <w:color w:val="auto"/>
        </w:rPr>
      </w:pPr>
    </w:p>
    <w:p>
      <w:pPr>
        <w:ind w:left="1514"/>
        <w:spacing w:after="0"/>
        <w:rPr>
          <w:sz w:val="20"/>
          <w:szCs w:val="20"/>
          <w:color w:val="auto"/>
        </w:rPr>
      </w:pPr>
      <w:r>
        <w:rPr>
          <w:rFonts w:ascii="Times New Roman" w:cs="Times New Roman" w:eastAsia="Times New Roman" w:hAnsi="Times New Roman"/>
          <w:sz w:val="18"/>
          <w:szCs w:val="18"/>
          <w:b w:val="1"/>
          <w:bCs w:val="1"/>
          <w:color w:val="auto"/>
        </w:rPr>
        <w:t>For the fiscal year ended December 31, 2021</w:t>
      </w:r>
    </w:p>
    <w:p>
      <w:pPr>
        <w:spacing w:after="0" w:line="117"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297" w:lineRule="exact"/>
        <w:rPr>
          <w:sz w:val="24"/>
          <w:szCs w:val="24"/>
          <w:color w:val="auto"/>
        </w:rPr>
      </w:pPr>
    </w:p>
    <w:p>
      <w:pPr>
        <w:ind w:left="1674" w:hanging="1286"/>
        <w:spacing w:after="0" w:line="237" w:lineRule="auto"/>
        <w:tabs>
          <w:tab w:leader="none" w:pos="1674" w:val="left"/>
        </w:tabs>
        <w:numPr>
          <w:ilvl w:val="0"/>
          <w:numId w:val="2"/>
        </w:numPr>
        <w:rPr>
          <w:rFonts w:ascii="Arial" w:cs="Arial" w:eastAsia="Arial" w:hAnsi="Arial"/>
          <w:sz w:val="22"/>
          <w:szCs w:val="22"/>
          <w:color w:val="auto"/>
        </w:rPr>
      </w:pPr>
      <w:r>
        <w:rPr>
          <w:rFonts w:ascii="Times New Roman" w:cs="Times New Roman" w:eastAsia="Times New Roman" w:hAnsi="Times New Roman"/>
          <w:sz w:val="22"/>
          <w:szCs w:val="22"/>
          <w:b w:val="1"/>
          <w:bCs w:val="1"/>
          <w:color w:val="auto"/>
        </w:rPr>
        <w:t>TRANSITION REPORT PURSUANT TO SECTION 15(d) OF THE SECURITIES EXCHANGE ACT OF 1934</w:t>
      </w:r>
    </w:p>
    <w:p>
      <w:pPr>
        <w:spacing w:after="0" w:line="103" w:lineRule="exact"/>
        <w:rPr>
          <w:sz w:val="24"/>
          <w:szCs w:val="24"/>
          <w:color w:val="auto"/>
        </w:rPr>
      </w:pPr>
    </w:p>
    <w:p>
      <w:pPr>
        <w:ind w:left="1674"/>
        <w:spacing w:after="0"/>
        <w:tabs>
          <w:tab w:leader="none" w:pos="4974" w:val="left"/>
        </w:tabs>
        <w:rPr>
          <w:sz w:val="20"/>
          <w:szCs w:val="20"/>
          <w:color w:val="auto"/>
        </w:rPr>
      </w:pPr>
      <w:r>
        <w:rPr>
          <w:rFonts w:ascii="Times New Roman" w:cs="Times New Roman" w:eastAsia="Times New Roman" w:hAnsi="Times New Roman"/>
          <w:sz w:val="18"/>
          <w:szCs w:val="18"/>
          <w:b w:val="1"/>
          <w:bCs w:val="1"/>
          <w:color w:val="auto"/>
        </w:rPr>
        <w:t>For the transition period from</w:t>
      </w:r>
      <w:r>
        <w:rPr>
          <w:sz w:val="20"/>
          <w:szCs w:val="20"/>
          <w:color w:val="auto"/>
        </w:rPr>
        <w:tab/>
      </w:r>
      <w:r>
        <w:rPr>
          <w:rFonts w:ascii="Times New Roman" w:cs="Times New Roman" w:eastAsia="Times New Roman" w:hAnsi="Times New Roman"/>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2567940</wp:posOffset>
            </wp:positionH>
            <wp:positionV relativeFrom="paragraph">
              <wp:posOffset>-5080</wp:posOffset>
            </wp:positionV>
            <wp:extent cx="132334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23340" cy="8255"/>
                    </a:xfrm>
                    <a:prstGeom prst="rect">
                      <a:avLst/>
                    </a:prstGeom>
                    <a:noFill/>
                  </pic:spPr>
                </pic:pic>
              </a:graphicData>
            </a:graphic>
          </wp:anchor>
        </w:drawing>
      </w:r>
    </w:p>
    <w:p>
      <w:pPr>
        <w:spacing w:after="0" w:line="300"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18"/>
          <w:szCs w:val="18"/>
          <w:b w:val="1"/>
          <w:bCs w:val="1"/>
          <w:color w:val="auto"/>
        </w:rPr>
        <w:t>Commission file number 1-13179</w:t>
      </w:r>
    </w:p>
    <w:p>
      <w:pPr>
        <w:spacing w:after="0" w:line="148" w:lineRule="exact"/>
        <w:rPr>
          <w:sz w:val="24"/>
          <w:szCs w:val="24"/>
          <w:color w:val="auto"/>
        </w:rPr>
      </w:pPr>
    </w:p>
    <w:p>
      <w:pPr>
        <w:ind w:left="774" w:hanging="774"/>
        <w:spacing w:after="0"/>
        <w:tabs>
          <w:tab w:leader="none" w:pos="774"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Full title of the plan and address of the plan, if different from that of the issuer named below:</w:t>
      </w:r>
    </w:p>
    <w:p>
      <w:pPr>
        <w:spacing w:after="0" w:line="291"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32"/>
          <w:szCs w:val="32"/>
          <w:b w:val="1"/>
          <w:bCs w:val="1"/>
          <w:color w:val="auto"/>
        </w:rPr>
        <w:t>FLOWSERVE CORPORATION RETIREMENT SAVINGS</w:t>
      </w:r>
    </w:p>
    <w:p>
      <w:pPr>
        <w:spacing w:after="0" w:line="61"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32"/>
          <w:szCs w:val="32"/>
          <w:b w:val="1"/>
          <w:bCs w:val="1"/>
          <w:color w:val="auto"/>
        </w:rPr>
        <w:t>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2620010</wp:posOffset>
            </wp:positionH>
            <wp:positionV relativeFrom="paragraph">
              <wp:posOffset>12700</wp:posOffset>
            </wp:positionV>
            <wp:extent cx="1868805" cy="539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68805" cy="5397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ind w:left="774" w:hanging="774"/>
        <w:spacing w:after="0"/>
        <w:tabs>
          <w:tab w:leader="none" w:pos="77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Name of the issuer of the securities held pursuant to the plan and the address of its principal executive office:</w:t>
      </w:r>
    </w:p>
    <w:p>
      <w:pPr>
        <w:spacing w:after="0" w:line="208"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31"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18"/>
          <w:szCs w:val="18"/>
          <w:b w:val="1"/>
          <w:bCs w:val="1"/>
          <w:color w:val="auto"/>
        </w:rPr>
        <w:t>5215 North O’Connor Blvd.,</w:t>
      </w:r>
    </w:p>
    <w:p>
      <w:pPr>
        <w:spacing w:after="0" w:line="9"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18"/>
          <w:szCs w:val="18"/>
          <w:b w:val="1"/>
          <w:bCs w:val="1"/>
          <w:color w:val="auto"/>
        </w:rPr>
        <w:t>Suite 700</w:t>
      </w:r>
    </w:p>
    <w:p>
      <w:pPr>
        <w:spacing w:after="0" w:line="9"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18"/>
          <w:szCs w:val="18"/>
          <w:b w:val="1"/>
          <w:bCs w:val="1"/>
          <w:color w:val="auto"/>
        </w:rPr>
        <w:t>Irving, TX 75039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wp:posOffset>
            </wp:positionH>
            <wp:positionV relativeFrom="paragraph">
              <wp:posOffset>3023235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-10795</wp:posOffset>
            </wp:positionH>
            <wp:positionV relativeFrom="paragraph">
              <wp:posOffset>2980690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74"/>
          </w:cols>
          <w:pgMar w:left="346" w:top="1245" w:right="379" w:bottom="1440" w:gutter="0" w:footer="0" w:header="0"/>
        </w:sectPr>
      </w:pPr>
    </w:p>
    <w:bookmarkStart w:id="1" w:name="page2"/>
    <w:bookmarkEnd w:id="1"/>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REQUIRED INFORMATION</w:t>
      </w:r>
    </w:p>
    <w:p>
      <w:pPr>
        <w:spacing w:after="0" w:line="229" w:lineRule="exact"/>
        <w:rPr>
          <w:sz w:val="20"/>
          <w:szCs w:val="20"/>
          <w:color w:val="auto"/>
        </w:rPr>
      </w:pPr>
    </w:p>
    <w:p>
      <w:pPr>
        <w:jc w:val="both"/>
        <w:ind w:firstLine="526"/>
        <w:spacing w:after="0" w:line="282" w:lineRule="auto"/>
        <w:rPr>
          <w:sz w:val="20"/>
          <w:szCs w:val="20"/>
          <w:color w:val="auto"/>
        </w:rPr>
      </w:pPr>
      <w:r>
        <w:rPr>
          <w:rFonts w:ascii="Times New Roman" w:cs="Times New Roman" w:eastAsia="Times New Roman" w:hAnsi="Times New Roman"/>
          <w:sz w:val="18"/>
          <w:szCs w:val="18"/>
          <w:color w:val="auto"/>
        </w:rPr>
        <w:t>The Flowserve Corporation Retirement Savings Plan (the “Plan”) is subject to the Employee Retirement Income Security Act of 1974, as amended (“ERISA”).</w:t>
      </w:r>
    </w:p>
    <w:p>
      <w:pPr>
        <w:spacing w:after="0" w:line="121" w:lineRule="exact"/>
        <w:rPr>
          <w:sz w:val="20"/>
          <w:szCs w:val="20"/>
          <w:color w:val="auto"/>
        </w:rPr>
      </w:pPr>
    </w:p>
    <w:p>
      <w:pPr>
        <w:jc w:val="both"/>
        <w:ind w:firstLine="504"/>
        <w:spacing w:after="0" w:line="266" w:lineRule="auto"/>
        <w:rPr>
          <w:sz w:val="20"/>
          <w:szCs w:val="20"/>
          <w:color w:val="auto"/>
        </w:rPr>
      </w:pPr>
      <w:r>
        <w:rPr>
          <w:rFonts w:ascii="Times New Roman" w:cs="Times New Roman" w:eastAsia="Times New Roman" w:hAnsi="Times New Roman"/>
          <w:sz w:val="18"/>
          <w:szCs w:val="18"/>
          <w:u w:val="single" w:color="auto"/>
          <w:color w:val="auto"/>
        </w:rPr>
        <w:t>Item 4</w:t>
      </w:r>
      <w:r>
        <w:rPr>
          <w:rFonts w:ascii="Times New Roman" w:cs="Times New Roman" w:eastAsia="Times New Roman" w:hAnsi="Times New Roman"/>
          <w:sz w:val="18"/>
          <w:szCs w:val="18"/>
          <w:color w:val="auto"/>
        </w:rPr>
        <w:t>. In lieu of the requirements of Items 1, 2 and 3 of Form 11-K, the following financial statements and schedule of the Plan (which have been prepared in accordance with the financial reporting requirements of ERISA), notes thereto, and Report of Independent Registered Public Accounting Firm thereon are being filed as Exhibit 99.1 to this Form 11-K:</w:t>
      </w:r>
    </w:p>
    <w:p>
      <w:pPr>
        <w:spacing w:after="0" w:line="203" w:lineRule="exact"/>
        <w:rPr>
          <w:sz w:val="20"/>
          <w:szCs w:val="20"/>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Report of Independent Registered Public Accounting Firm.</w:t>
      </w:r>
    </w:p>
    <w:p>
      <w:pPr>
        <w:spacing w:after="0" w:line="27" w:lineRule="exact"/>
        <w:rPr>
          <w:rFonts w:ascii="Times New Roman" w:cs="Times New Roman" w:eastAsia="Times New Roman" w:hAnsi="Times New Roman"/>
          <w:sz w:val="18"/>
          <w:szCs w:val="18"/>
          <w:color w:val="auto"/>
        </w:rPr>
      </w:pPr>
    </w:p>
    <w:p>
      <w:pPr>
        <w:ind w:left="640" w:hanging="308"/>
        <w:spacing w:after="0"/>
        <w:tabs>
          <w:tab w:leader="none" w:pos="64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Statements of Net Assets Available for Benefits as of December 31, 2021 and 2020.</w:t>
      </w:r>
    </w:p>
    <w:p>
      <w:pPr>
        <w:spacing w:after="0" w:line="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Statement of Changes in Net Assets Available for Benefits for the Year Ended December 31, 2021.</w:t>
      </w:r>
    </w:p>
    <w:p>
      <w:pPr>
        <w:spacing w:after="0" w:line="9" w:lineRule="exact"/>
        <w:rPr>
          <w:rFonts w:ascii="Times New Roman" w:cs="Times New Roman" w:eastAsia="Times New Roman" w:hAnsi="Times New Roman"/>
          <w:sz w:val="18"/>
          <w:szCs w:val="18"/>
          <w:color w:val="auto"/>
        </w:rPr>
      </w:pPr>
    </w:p>
    <w:p>
      <w:pPr>
        <w:ind w:left="640" w:hanging="308"/>
        <w:spacing w:after="0"/>
        <w:tabs>
          <w:tab w:leader="none" w:pos="64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Notes to Financial Statements.</w:t>
      </w:r>
    </w:p>
    <w:p>
      <w:pPr>
        <w:spacing w:after="0" w:line="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Form 5500, Schedule H, Line 4i — Schedule of Assets (Held at End of Year) as of December 31, 2021.</w:t>
      </w:r>
    </w:p>
    <w:p>
      <w:pPr>
        <w:spacing w:after="0" w:line="180" w:lineRule="exact"/>
        <w:rPr>
          <w:sz w:val="20"/>
          <w:szCs w:val="20"/>
          <w:color w:val="auto"/>
        </w:rPr>
      </w:pPr>
    </w:p>
    <w:p>
      <w:pPr>
        <w:jc w:val="both"/>
        <w:ind w:firstLine="526"/>
        <w:spacing w:after="0" w:line="266" w:lineRule="auto"/>
        <w:rPr>
          <w:sz w:val="20"/>
          <w:szCs w:val="20"/>
          <w:color w:val="auto"/>
        </w:rPr>
      </w:pPr>
      <w:r>
        <w:rPr>
          <w:rFonts w:ascii="Times New Roman" w:cs="Times New Roman" w:eastAsia="Times New Roman" w:hAnsi="Times New Roman"/>
          <w:sz w:val="18"/>
          <w:szCs w:val="18"/>
          <w:color w:val="auto"/>
        </w:rPr>
        <w:t>The Consent of Independent Registered Public Accounting Firm to the incorporation by reference of the foregoing financial statements and Report of Independent Registered Public Accounting Firm in the Registration Statements on Form S-8 pertaining to the Plan is being filed as Exhibit 23.1 to this Report.</w:t>
      </w:r>
    </w:p>
    <w:p>
      <w:pPr>
        <w:sectPr>
          <w:pgSz w:w="11900" w:h="16838" w:orient="portrait"/>
          <w:cols w:equalWidth="0" w:num="1">
            <w:col w:w="11240"/>
          </w:cols>
          <w:pgMar w:left="320" w:top="1211"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firstLine="553"/>
        <w:spacing w:after="0" w:line="282" w:lineRule="auto"/>
        <w:rPr>
          <w:sz w:val="20"/>
          <w:szCs w:val="20"/>
          <w:color w:val="auto"/>
        </w:rPr>
      </w:pPr>
      <w:r>
        <w:rPr>
          <w:rFonts w:ascii="Times New Roman" w:cs="Times New Roman" w:eastAsia="Times New Roman" w:hAnsi="Times New Roman"/>
          <w:sz w:val="18"/>
          <w:szCs w:val="18"/>
          <w:u w:val="single" w:color="auto"/>
          <w:color w:val="auto"/>
        </w:rPr>
        <w:t>The Plan</w:t>
      </w:r>
      <w:r>
        <w:rPr>
          <w:rFonts w:ascii="Times New Roman" w:cs="Times New Roman" w:eastAsia="Times New Roman" w:hAnsi="Times New Roman"/>
          <w:sz w:val="18"/>
          <w:szCs w:val="18"/>
          <w:color w:val="auto"/>
        </w:rPr>
        <w:t>. Pursuant to the requirements of the Securities Exchange Act of 1934, the Flowserve Corporation Pension and Investment Committee, which administers the Plan, has duly caused this annual report to be signed on behalf of the Plan by the undersigned hereunto duly authorized.</w:t>
      </w:r>
    </w:p>
    <w:p>
      <w:pPr>
        <w:spacing w:after="0" w:line="310"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color w:val="auto"/>
        </w:rPr>
        <w:t>Flowserve Corporation Retirement Savings Plan</w:t>
      </w:r>
    </w:p>
    <w:p>
      <w:pPr>
        <w:spacing w:after="0" w:line="207" w:lineRule="exact"/>
        <w:rPr>
          <w:sz w:val="20"/>
          <w:szCs w:val="20"/>
          <w:color w:val="auto"/>
        </w:rPr>
      </w:pPr>
    </w:p>
    <w:p>
      <w:pPr>
        <w:ind w:left="20"/>
        <w:spacing w:after="0"/>
        <w:tabs>
          <w:tab w:leader="none" w:pos="5580" w:val="left"/>
        </w:tabs>
        <w:rPr>
          <w:sz w:val="20"/>
          <w:szCs w:val="20"/>
          <w:color w:val="auto"/>
        </w:rPr>
      </w:pPr>
      <w:r>
        <w:rPr>
          <w:rFonts w:ascii="Times New Roman" w:cs="Times New Roman" w:eastAsia="Times New Roman" w:hAnsi="Times New Roman"/>
          <w:sz w:val="18"/>
          <w:szCs w:val="18"/>
          <w:color w:val="auto"/>
        </w:rPr>
        <w:t>Date: June 10, 2022</w:t>
      </w:r>
      <w:r>
        <w:rPr>
          <w:sz w:val="20"/>
          <w:szCs w:val="20"/>
          <w:color w:val="auto"/>
        </w:rPr>
        <w:tab/>
      </w:r>
      <w:r>
        <w:rPr>
          <w:rFonts w:ascii="Times New Roman" w:cs="Times New Roman" w:eastAsia="Times New Roman" w:hAnsi="Times New Roman"/>
          <w:sz w:val="18"/>
          <w:szCs w:val="18"/>
          <w:color w:val="auto"/>
        </w:rPr>
        <w:t xml:space="preserve">/s/ </w:t>
      </w:r>
      <w:r>
        <w:rPr>
          <w:rFonts w:ascii="Times New Roman" w:cs="Times New Roman" w:eastAsia="Times New Roman" w:hAnsi="Times New Roman"/>
          <w:sz w:val="19"/>
          <w:szCs w:val="19"/>
          <w:color w:val="auto"/>
        </w:rPr>
        <w:t>Shannon Barcroft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3545205</wp:posOffset>
            </wp:positionH>
            <wp:positionV relativeFrom="paragraph">
              <wp:posOffset>29845</wp:posOffset>
            </wp:positionV>
            <wp:extent cx="30429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042920" cy="8890"/>
                    </a:xfrm>
                    <a:prstGeom prst="rect">
                      <a:avLst/>
                    </a:prstGeom>
                    <a:noFill/>
                  </pic:spPr>
                </pic:pic>
              </a:graphicData>
            </a:graphic>
          </wp:anchor>
        </w:drawing>
      </w:r>
    </w:p>
    <w:p>
      <w:pPr>
        <w:spacing w:after="0" w:line="36"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color w:val="auto"/>
        </w:rPr>
        <w:t>Shannon Barcroft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3545205</wp:posOffset>
            </wp:positionH>
            <wp:positionV relativeFrom="paragraph">
              <wp:posOffset>17145</wp:posOffset>
            </wp:positionV>
            <wp:extent cx="30429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042920" cy="8255"/>
                    </a:xfrm>
                    <a:prstGeom prst="rect">
                      <a:avLst/>
                    </a:prstGeom>
                    <a:noFill/>
                  </pic:spPr>
                </pic:pic>
              </a:graphicData>
            </a:graphic>
          </wp:anchor>
        </w:drawing>
      </w:r>
    </w:p>
    <w:p>
      <w:pPr>
        <w:spacing w:after="0" w:line="5" w:lineRule="exact"/>
        <w:rPr>
          <w:sz w:val="20"/>
          <w:szCs w:val="20"/>
          <w:color w:val="auto"/>
        </w:rPr>
      </w:pPr>
    </w:p>
    <w:p>
      <w:pPr>
        <w:ind w:left="5600"/>
        <w:spacing w:after="0"/>
        <w:rPr>
          <w:sz w:val="20"/>
          <w:szCs w:val="20"/>
          <w:color w:val="auto"/>
        </w:rPr>
      </w:pPr>
      <w:r>
        <w:rPr>
          <w:rFonts w:ascii="Times New Roman" w:cs="Times New Roman" w:eastAsia="Times New Roman" w:hAnsi="Times New Roman"/>
          <w:sz w:val="18"/>
          <w:szCs w:val="18"/>
          <w:color w:val="auto"/>
        </w:rPr>
        <w:t>Vice President, Compensation and Benefits</w:t>
      </w:r>
    </w:p>
    <w:p>
      <w:pPr>
        <w:ind w:left="5600"/>
        <w:spacing w:after="0" w:line="203" w:lineRule="auto"/>
        <w:rPr>
          <w:sz w:val="20"/>
          <w:szCs w:val="20"/>
          <w:color w:val="auto"/>
        </w:rPr>
      </w:pPr>
      <w:r>
        <w:rPr>
          <w:rFonts w:ascii="Times New Roman" w:cs="Times New Roman" w:eastAsia="Times New Roman" w:hAnsi="Times New Roman"/>
          <w:sz w:val="18"/>
          <w:szCs w:val="18"/>
          <w:color w:val="auto"/>
        </w:rPr>
        <w:t>On behalf of the Flowserve Corporation Pension and Investment</w:t>
      </w:r>
    </w:p>
    <w:p>
      <w:pPr>
        <w:ind w:left="5600"/>
        <w:spacing w:after="0"/>
        <w:rPr>
          <w:sz w:val="20"/>
          <w:szCs w:val="20"/>
          <w:color w:val="auto"/>
        </w:rPr>
      </w:pPr>
      <w:r>
        <w:rPr>
          <w:rFonts w:ascii="Times New Roman" w:cs="Times New Roman" w:eastAsia="Times New Roman" w:hAnsi="Times New Roman"/>
          <w:sz w:val="18"/>
          <w:szCs w:val="18"/>
          <w:color w:val="auto"/>
        </w:rPr>
        <w:t>Committee</w:t>
      </w:r>
    </w:p>
    <w:p>
      <w:pPr>
        <w:sectPr>
          <w:pgSz w:w="11900" w:h="16838" w:orient="portrait"/>
          <w:cols w:equalWidth="0" w:num="1">
            <w:col w:w="11220"/>
          </w:cols>
          <w:pgMar w:left="320" w:top="1211" w:right="359" w:bottom="1440" w:gutter="0" w:footer="0" w:header="0"/>
        </w:sectPr>
      </w:pPr>
    </w:p>
    <w:bookmarkStart w:id="3" w:name="page4"/>
    <w:bookmarkEnd w:id="3"/>
    <w:p>
      <w:pPr>
        <w:ind w:left="4540"/>
        <w:spacing w:after="0"/>
        <w:rPr>
          <w:sz w:val="20"/>
          <w:szCs w:val="20"/>
          <w:color w:val="auto"/>
        </w:rPr>
      </w:pPr>
      <w:r>
        <w:rPr>
          <w:rFonts w:ascii="Times New Roman" w:cs="Times New Roman" w:eastAsia="Times New Roman" w:hAnsi="Times New Roman"/>
          <w:sz w:val="18"/>
          <w:szCs w:val="18"/>
          <w:b w:val="1"/>
          <w:bCs w:val="1"/>
          <w:color w:val="auto"/>
        </w:rPr>
        <w:t>INDEX TO EXHIBITS</w:t>
      </w:r>
    </w:p>
    <w:p>
      <w:pPr>
        <w:spacing w:after="0" w:line="2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The following Exhibits are being filed with this Annual Report on Form 11-K:</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-108585</wp:posOffset>
            </wp:positionH>
            <wp:positionV relativeFrom="paragraph">
              <wp:posOffset>17145</wp:posOffset>
            </wp:positionV>
            <wp:extent cx="5568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56895" cy="8890"/>
                    </a:xfrm>
                    <a:prstGeom prst="rect">
                      <a:avLst/>
                    </a:prstGeom>
                    <a:noFill/>
                  </pic:spPr>
                </pic:pic>
              </a:graphicData>
            </a:graphic>
          </wp:anchor>
        </w:drawing>
      </w:r>
    </w:p>
    <w:p>
      <w:pPr>
        <w:spacing w:after="0" w:line="246" w:lineRule="exact"/>
        <w:rPr>
          <w:sz w:val="20"/>
          <w:szCs w:val="20"/>
          <w:color w:val="auto"/>
        </w:rPr>
      </w:pPr>
    </w:p>
    <w:p>
      <w:pPr>
        <w:ind w:left="100"/>
        <w:spacing w:after="0"/>
        <w:tabs>
          <w:tab w:leader="none" w:pos="900" w:val="left"/>
        </w:tabs>
        <w:rPr>
          <w:sz w:val="20"/>
          <w:szCs w:val="20"/>
          <w:color w:val="auto"/>
        </w:rPr>
      </w:pPr>
      <w:r>
        <w:rPr>
          <w:rFonts w:ascii="Times New Roman" w:cs="Times New Roman" w:eastAsia="Times New Roman" w:hAnsi="Times New Roman"/>
          <w:sz w:val="18"/>
          <w:szCs w:val="18"/>
          <w:color w:val="auto"/>
        </w:rPr>
        <w:t>23.1</w:t>
      </w:r>
      <w:r>
        <w:rPr>
          <w:sz w:val="20"/>
          <w:szCs w:val="20"/>
          <w:color w:val="auto"/>
        </w:rPr>
        <w:tab/>
      </w:r>
      <w:r>
        <w:rPr>
          <w:rFonts w:ascii="Times New Roman" w:cs="Times New Roman" w:eastAsia="Times New Roman" w:hAnsi="Times New Roman"/>
          <w:sz w:val="17"/>
          <w:szCs w:val="17"/>
          <w:color w:val="auto"/>
        </w:rPr>
        <w:t>Consent of Independent Registered Public Accounting Firm</w:t>
      </w:r>
    </w:p>
    <w:p>
      <w:pPr>
        <w:spacing w:after="0" w:line="252" w:lineRule="exact"/>
        <w:rPr>
          <w:sz w:val="20"/>
          <w:szCs w:val="20"/>
          <w:color w:val="auto"/>
        </w:rPr>
      </w:pPr>
    </w:p>
    <w:p>
      <w:pPr>
        <w:ind w:left="920" w:hanging="816"/>
        <w:spacing w:after="0" w:line="237" w:lineRule="auto"/>
        <w:tabs>
          <w:tab w:leader="none" w:pos="900" w:val="left"/>
        </w:tabs>
        <w:rPr>
          <w:sz w:val="20"/>
          <w:szCs w:val="20"/>
          <w:color w:val="auto"/>
        </w:rPr>
      </w:pPr>
      <w:r>
        <w:rPr>
          <w:rFonts w:ascii="Times New Roman" w:cs="Times New Roman" w:eastAsia="Times New Roman" w:hAnsi="Times New Roman"/>
          <w:sz w:val="18"/>
          <w:szCs w:val="18"/>
          <w:color w:val="auto"/>
        </w:rPr>
        <w:t>99.1</w:t>
      </w:r>
      <w:r>
        <w:rPr>
          <w:sz w:val="20"/>
          <w:szCs w:val="20"/>
          <w:color w:val="auto"/>
        </w:rPr>
        <w:tab/>
      </w:r>
      <w:r>
        <w:rPr>
          <w:rFonts w:ascii="Times New Roman" w:cs="Times New Roman" w:eastAsia="Times New Roman" w:hAnsi="Times New Roman"/>
          <w:sz w:val="18"/>
          <w:szCs w:val="18"/>
          <w:color w:val="auto"/>
        </w:rPr>
        <w:t>Annual Financial Statements of the Flowserve Corporation Retirement Savings Plan as of December 31, 2021 and 2020 and for the year ended December 31, 2021 with Report of Independent Registered Public Accounting Firm.</w:t>
      </w:r>
    </w:p>
    <w:p>
      <w:pPr>
        <w:sectPr>
          <w:pgSz w:w="11900" w:h="16838" w:orient="portrait"/>
          <w:cols w:equalWidth="0" w:num="1">
            <w:col w:w="11040"/>
          </w:cols>
          <w:pgMar w:left="500" w:top="1062" w:right="35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00" w:lineRule="exact"/>
        <w:rPr>
          <w:sz w:val="20"/>
          <w:szCs w:val="20"/>
          <w:color w:val="auto"/>
        </w:rPr>
      </w:pPr>
    </w:p>
    <w:p>
      <w:pPr>
        <w:spacing w:after="0" w:line="241"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0"/>
          <w:szCs w:val="20"/>
          <w:color w:val="auto"/>
        </w:rPr>
        <w:t>We consent to the incorporation by reference in Registration Statement No. 333-82081 on Form S-8 of Flowserve Corporation of our report dated June 10, 2022, with respect to the statements of net assets available for benefits of the Flowserve Corporation Retirement Savings Plan as of December 31, 2021 and 2020, the related statement of changes in net assets available for benefits for the year ended December 31, 2021, and the related supplemental schedule of Form 5500, Schedule H, Line 4i – Schedule of Assets (Held at End of Year) as of December 31, 2021, which report appears in the December 31, 2021 annual report on Form 11-K of the Flowserve Corporation Retirement Savings Plan for the year ended December 31, 2021.</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Whitley Penn LLP</w:t>
      </w: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Fort Worth, Texas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June 10, 2022</w:t>
      </w:r>
    </w:p>
    <w:p>
      <w:pPr>
        <w:sectPr>
          <w:pgSz w:w="11900" w:h="16838" w:orient="portrait"/>
          <w:cols w:equalWidth="0" w:num="1">
            <w:col w:w="11240"/>
          </w:cols>
          <w:pgMar w:left="320" w:top="1103" w:right="339" w:bottom="1440" w:gutter="0" w:footer="0" w:header="0"/>
        </w:sectPr>
      </w:pPr>
    </w:p>
    <w:bookmarkStart w:id="5" w:name="page6"/>
    <w:bookmarkEnd w:id="5"/>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32"/>
          <w:szCs w:val="32"/>
          <w:b w:val="1"/>
          <w:bCs w:val="1"/>
          <w:color w:val="auto"/>
        </w:rPr>
        <w:t>FLOWSERVE CORPORATION</w:t>
      </w:r>
    </w:p>
    <w:p>
      <w:pPr>
        <w:spacing w:after="0" w:line="61"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32"/>
          <w:szCs w:val="32"/>
          <w:b w:val="1"/>
          <w:bCs w:val="1"/>
          <w:color w:val="auto"/>
        </w:rPr>
        <w:t>RETIREMENT SAVINGS PLAN</w:t>
      </w:r>
    </w:p>
    <w:p>
      <w:pPr>
        <w:spacing w:after="0" w:line="234"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5"/>
          <w:szCs w:val="25"/>
          <w:b w:val="1"/>
          <w:bCs w:val="1"/>
          <w:color w:val="auto"/>
        </w:rPr>
        <w:t>FINANCIAL STATEMENTS</w:t>
      </w:r>
    </w:p>
    <w:p>
      <w:pPr>
        <w:spacing w:after="0" w:line="47"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5"/>
          <w:szCs w:val="25"/>
          <w:b w:val="1"/>
          <w:bCs w:val="1"/>
          <w:color w:val="auto"/>
        </w:rPr>
        <w:t>AND SUPPLEMENTAL SCHEDULE</w:t>
      </w:r>
    </w:p>
    <w:p>
      <w:pPr>
        <w:spacing w:after="0" w:line="253"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AS OF DECEMBER 31, 2021 AND 2020 AND</w:t>
      </w:r>
    </w:p>
    <w:p>
      <w:pPr>
        <w:spacing w:after="0" w:line="32"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FOR THE YEAR ENDED DECEMBER 31, 2021</w:t>
      </w:r>
    </w:p>
    <w:p>
      <w:pPr>
        <w:sectPr>
          <w:pgSz w:w="11900" w:h="16838" w:orient="portrait"/>
          <w:cols w:equalWidth="0" w:num="1">
            <w:col w:w="10120"/>
          </w:cols>
          <w:pgMar w:left="1440" w:top="1103" w:right="3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b w:val="1"/>
          <w:bCs w:val="1"/>
          <w:color w:val="auto"/>
        </w:rPr>
        <w:t>INDEX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25400</wp:posOffset>
            </wp:positionV>
            <wp:extent cx="702056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02056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10820" w:type="dxa"/>
            <w:vAlign w:val="bottom"/>
          </w:tcPr>
          <w:p>
            <w:pPr>
              <w:spacing w:after="0"/>
              <w:rPr>
                <w:sz w:val="20"/>
                <w:szCs w:val="20"/>
                <w:color w:val="auto"/>
              </w:rPr>
            </w:pPr>
            <w:r>
              <w:rPr>
                <w:rFonts w:ascii="Times New Roman" w:cs="Times New Roman" w:eastAsia="Times New Roman" w:hAnsi="Times New Roman"/>
                <w:sz w:val="20"/>
                <w:szCs w:val="20"/>
                <w:color w:val="auto"/>
              </w:rPr>
              <w:t>Report of Independent Registered Public Accounting Firm</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0000FF"/>
              </w:rPr>
              <w:t>1</w:t>
            </w:r>
          </w:p>
        </w:tc>
      </w:tr>
      <w:tr>
        <w:trPr>
          <w:trHeight w:val="539"/>
        </w:trPr>
        <w:tc>
          <w:tcPr>
            <w:tcW w:w="10820" w:type="dxa"/>
            <w:vAlign w:val="bottom"/>
          </w:tcPr>
          <w:p>
            <w:pPr>
              <w:spacing w:after="0"/>
              <w:rPr>
                <w:sz w:val="20"/>
                <w:szCs w:val="20"/>
                <w:color w:val="auto"/>
              </w:rPr>
            </w:pPr>
            <w:r>
              <w:rPr>
                <w:rFonts w:ascii="Times New Roman" w:cs="Times New Roman" w:eastAsia="Times New Roman" w:hAnsi="Times New Roman"/>
                <w:sz w:val="20"/>
                <w:szCs w:val="20"/>
                <w:color w:val="auto"/>
              </w:rPr>
              <w:t>Financial Statements:</w:t>
            </w:r>
          </w:p>
        </w:tc>
        <w:tc>
          <w:tcPr>
            <w:tcW w:w="10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r>
      <w:tr>
        <w:trPr>
          <w:trHeight w:val="467"/>
        </w:trPr>
        <w:tc>
          <w:tcPr>
            <w:tcW w:w="10820" w:type="dxa"/>
            <w:vAlign w:val="bottom"/>
          </w:tcPr>
          <w:p>
            <w:pPr>
              <w:ind w:left="340"/>
              <w:spacing w:after="0"/>
              <w:rPr>
                <w:sz w:val="20"/>
                <w:szCs w:val="20"/>
                <w:color w:val="auto"/>
              </w:rPr>
            </w:pPr>
            <w:r>
              <w:rPr>
                <w:rFonts w:ascii="Times New Roman" w:cs="Times New Roman" w:eastAsia="Times New Roman" w:hAnsi="Times New Roman"/>
                <w:sz w:val="20"/>
                <w:szCs w:val="20"/>
                <w:color w:val="auto"/>
              </w:rPr>
              <w:t>Statements of Net Assets Available for Benefits as of December 31, 2021 and 2020</w:t>
            </w:r>
          </w:p>
        </w:tc>
        <w:tc>
          <w:tcPr>
            <w:tcW w:w="100" w:type="dxa"/>
            <w:vAlign w:val="bottom"/>
          </w:tcPr>
          <w:p>
            <w:pPr>
              <w:spacing w:after="0"/>
              <w:rPr>
                <w:sz w:val="24"/>
                <w:szCs w:val="24"/>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20"/>
                <w:szCs w:val="20"/>
                <w:color w:val="0000FF"/>
                <w:w w:val="79"/>
              </w:rPr>
              <w:t>2</w:t>
            </w:r>
          </w:p>
        </w:tc>
      </w:tr>
      <w:tr>
        <w:trPr>
          <w:trHeight w:val="493"/>
        </w:trPr>
        <w:tc>
          <w:tcPr>
            <w:tcW w:w="10820" w:type="dxa"/>
            <w:vAlign w:val="bottom"/>
          </w:tcPr>
          <w:p>
            <w:pPr>
              <w:ind w:left="340"/>
              <w:spacing w:after="0"/>
              <w:rPr>
                <w:sz w:val="20"/>
                <w:szCs w:val="20"/>
                <w:color w:val="auto"/>
              </w:rPr>
            </w:pPr>
            <w:r>
              <w:rPr>
                <w:rFonts w:ascii="Times New Roman" w:cs="Times New Roman" w:eastAsia="Times New Roman" w:hAnsi="Times New Roman"/>
                <w:sz w:val="20"/>
                <w:szCs w:val="20"/>
                <w:color w:val="auto"/>
              </w:rPr>
              <w:t>Statement of Changes in Net Assets Available for Benefits for the Year Ended December 31, 2021</w:t>
            </w:r>
          </w:p>
        </w:tc>
        <w:tc>
          <w:tcPr>
            <w:tcW w:w="100" w:type="dxa"/>
            <w:vAlign w:val="bottom"/>
          </w:tcPr>
          <w:p>
            <w:pPr>
              <w:spacing w:after="0"/>
              <w:rPr>
                <w:sz w:val="24"/>
                <w:szCs w:val="24"/>
                <w:color w:val="auto"/>
              </w:rPr>
            </w:pPr>
          </w:p>
        </w:tc>
        <w:tc>
          <w:tcPr>
            <w:tcW w:w="100" w:type="dxa"/>
            <w:vAlign w:val="bottom"/>
            <w:tcBorders>
              <w:bottom w:val="single" w:sz="8" w:color="0000FF"/>
            </w:tcBorders>
          </w:tcPr>
          <w:p>
            <w:pPr>
              <w:jc w:val="right"/>
              <w:spacing w:after="0"/>
              <w:rPr>
                <w:sz w:val="20"/>
                <w:szCs w:val="20"/>
                <w:color w:val="auto"/>
              </w:rPr>
            </w:pPr>
            <w:r>
              <w:rPr>
                <w:rFonts w:ascii="Times New Roman" w:cs="Times New Roman" w:eastAsia="Times New Roman" w:hAnsi="Times New Roman"/>
                <w:sz w:val="20"/>
                <w:szCs w:val="20"/>
                <w:color w:val="0000FF"/>
                <w:w w:val="79"/>
              </w:rPr>
              <w:t>3</w:t>
            </w:r>
          </w:p>
        </w:tc>
      </w:tr>
      <w:tr>
        <w:trPr>
          <w:trHeight w:val="493"/>
        </w:trPr>
        <w:tc>
          <w:tcPr>
            <w:tcW w:w="10820" w:type="dxa"/>
            <w:vAlign w:val="bottom"/>
          </w:tcPr>
          <w:p>
            <w:pPr>
              <w:ind w:left="340"/>
              <w:spacing w:after="0"/>
              <w:rPr>
                <w:sz w:val="20"/>
                <w:szCs w:val="20"/>
                <w:color w:val="auto"/>
              </w:rPr>
            </w:pPr>
            <w:r>
              <w:rPr>
                <w:rFonts w:ascii="Times New Roman" w:cs="Times New Roman" w:eastAsia="Times New Roman" w:hAnsi="Times New Roman"/>
                <w:sz w:val="20"/>
                <w:szCs w:val="20"/>
                <w:color w:val="auto"/>
              </w:rPr>
              <w:t>Notes to Financial Statements</w:t>
            </w: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0000FF"/>
              </w:rPr>
              <w:t>4</w:t>
            </w:r>
          </w:p>
        </w:tc>
      </w:tr>
      <w:tr>
        <w:trPr>
          <w:trHeight w:val="540"/>
        </w:trPr>
        <w:tc>
          <w:tcPr>
            <w:tcW w:w="10820" w:type="dxa"/>
            <w:vAlign w:val="bottom"/>
          </w:tcPr>
          <w:p>
            <w:pPr>
              <w:spacing w:after="0"/>
              <w:rPr>
                <w:sz w:val="20"/>
                <w:szCs w:val="20"/>
                <w:color w:val="auto"/>
              </w:rPr>
            </w:pPr>
            <w:r>
              <w:rPr>
                <w:rFonts w:ascii="Times New Roman" w:cs="Times New Roman" w:eastAsia="Times New Roman" w:hAnsi="Times New Roman"/>
                <w:sz w:val="20"/>
                <w:szCs w:val="20"/>
                <w:color w:val="auto"/>
              </w:rPr>
              <w:t>Supplemental Schedule:</w:t>
            </w:r>
          </w:p>
        </w:tc>
        <w:tc>
          <w:tcPr>
            <w:tcW w:w="10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r>
      <w:tr>
        <w:trPr>
          <w:trHeight w:val="466"/>
        </w:trPr>
        <w:tc>
          <w:tcPr>
            <w:tcW w:w="10820" w:type="dxa"/>
            <w:vAlign w:val="bottom"/>
          </w:tcPr>
          <w:p>
            <w:pPr>
              <w:ind w:left="340"/>
              <w:spacing w:after="0"/>
              <w:rPr>
                <w:sz w:val="20"/>
                <w:szCs w:val="20"/>
                <w:color w:val="auto"/>
              </w:rPr>
            </w:pPr>
            <w:r>
              <w:rPr>
                <w:rFonts w:ascii="Times New Roman" w:cs="Times New Roman" w:eastAsia="Times New Roman" w:hAnsi="Times New Roman"/>
                <w:sz w:val="20"/>
                <w:szCs w:val="20"/>
                <w:color w:val="auto"/>
              </w:rPr>
              <w:t>Form 5500, Schedule H, Line 4i – Schedule of Assets (Held at End of Year) as of December 31, 2021</w:t>
            </w:r>
          </w:p>
        </w:tc>
        <w:tc>
          <w:tcPr>
            <w:tcW w:w="200" w:type="dxa"/>
            <w:vAlign w:val="bottom"/>
            <w:tcBorders>
              <w:bottom w:val="single" w:sz="8" w:color="0000FF"/>
            </w:tcBorders>
            <w:gridSpan w:val="2"/>
          </w:tcPr>
          <w:p>
            <w:pPr>
              <w:jc w:val="right"/>
              <w:spacing w:after="0"/>
              <w:rPr>
                <w:sz w:val="20"/>
                <w:szCs w:val="20"/>
                <w:color w:val="auto"/>
              </w:rPr>
            </w:pPr>
            <w:r>
              <w:rPr>
                <w:rFonts w:ascii="Times New Roman" w:cs="Times New Roman" w:eastAsia="Times New Roman" w:hAnsi="Times New Roman"/>
                <w:sz w:val="20"/>
                <w:szCs w:val="20"/>
                <w:color w:val="0000FF"/>
                <w:w w:val="89"/>
              </w:rPr>
              <w:t>12</w:t>
            </w:r>
          </w:p>
        </w:tc>
      </w:tr>
    </w:tbl>
    <w:p>
      <w:pPr>
        <w:sectPr>
          <w:pgSz w:w="11900" w:h="16838" w:orient="portrait"/>
          <w:cols w:equalWidth="0" w:num="1">
            <w:col w:w="11040"/>
          </w:cols>
          <w:pgMar w:left="320" w:top="597" w:right="539" w:bottom="1440" w:gutter="0" w:footer="0" w:header="0"/>
        </w:sectPr>
      </w:pPr>
    </w:p>
    <w:bookmarkStart w:id="7" w:name="page8"/>
    <w:bookmarkEnd w:id="7"/>
    <w:p>
      <w:pPr>
        <w:ind w:left="2240"/>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Participants and Administrator of the</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Flowserve Corporation Retirement Savings Plan</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Opinion on the Financial Statements</w:t>
      </w:r>
    </w:p>
    <w:p>
      <w:pPr>
        <w:spacing w:after="0" w:line="23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20"/>
          <w:szCs w:val="20"/>
          <w:color w:val="auto"/>
        </w:rPr>
        <w:t>We have audited the accompanying statements of net assets available for benefits of the Flowserve Corporation Retirement Savings Plan (the “Plan”) as of December 31, 2021 and 2020, and the related statement of changes in net assets available for benefits for the year ended December 31, 2021, and the related notes (collectively referred to as the “financial statements”). In our opinion, the financial statements present fairly, in all material respects, the net assets available for benefits of the Plan as of December 31, 2021 and 2020, and the changes in net assets available for benefits for the year ended December 31, 2021, in conformity with accounting principles generally accepted in the United States of America.</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Basis for Opinion</w:t>
      </w:r>
    </w:p>
    <w:p>
      <w:pPr>
        <w:spacing w:after="0" w:line="2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These financial statements are the responsibility of the Plan’s management. 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78"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w:t>
      </w:r>
    </w:p>
    <w:p>
      <w:pPr>
        <w:spacing w:after="0" w:line="6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20"/>
          <w:szCs w:val="20"/>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Supplemental Information</w:t>
      </w:r>
    </w:p>
    <w:p>
      <w:pPr>
        <w:spacing w:after="0" w:line="35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9"/>
          <w:szCs w:val="19"/>
          <w:color w:val="auto"/>
        </w:rPr>
        <w:t>The supplemental information in the accompanying schedule of Form 5500, Schedule H, Line 4i – Schedule of Assets (Held at End of Year) as of December 31, 2021, has been subjected to audit procedures performed in conjunction with the audit of the Plan’s financial statements.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 accuracy of the information presented in the supplemental information. In forming our opinion on the supplemental information, we evaluated whether the supplemental information, including its form and content, is presented in conformity with the Department of Labor’s Rules and Regulations for Reporting and Disclosure under the Employee Retirement Income Security Act of 1974. In our opinion, the supplemental information is fairly stated, in all material respects, in relation to the financial statements as a whole.</w:t>
      </w:r>
    </w:p>
    <w:p>
      <w:pPr>
        <w:spacing w:after="0" w:line="200" w:lineRule="exact"/>
        <w:rPr>
          <w:sz w:val="20"/>
          <w:szCs w:val="20"/>
          <w:color w:val="auto"/>
        </w:rPr>
      </w:pP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Whitley Penn LLP</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Plan’s auditor since 2007.</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Fort Worth, Texas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June 10, 2022</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240"/>
          </w:cols>
          <w:pgMar w:left="320" w:top="1058" w:right="3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STATEMENTS OF NET ASSETS AVAILABLE FOR BENEFITS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145415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266"/>
        </w:trPr>
        <w:tc>
          <w:tcPr>
            <w:tcW w:w="422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c>
          <w:tcPr>
            <w:tcW w:w="2600" w:type="dxa"/>
            <w:vAlign w:val="bottom"/>
            <w:tcBorders>
              <w:bottom w:val="single" w:sz="8" w:color="auto"/>
            </w:tcBorders>
            <w:gridSpan w:val="3"/>
          </w:tcPr>
          <w:p>
            <w:pPr>
              <w:jc w:val="right"/>
              <w:ind w:right="121"/>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20" w:type="dxa"/>
            <w:vAlign w:val="bottom"/>
            <w:tcBorders>
              <w:bottom w:val="single" w:sz="8" w:color="auto"/>
            </w:tcBorders>
          </w:tcPr>
          <w:p>
            <w:pPr>
              <w:spacing w:after="0"/>
              <w:rPr>
                <w:sz w:val="23"/>
                <w:szCs w:val="23"/>
                <w:color w:val="auto"/>
              </w:rPr>
            </w:pPr>
          </w:p>
        </w:tc>
      </w:tr>
      <w:tr>
        <w:trPr>
          <w:trHeight w:val="254"/>
        </w:trPr>
        <w:tc>
          <w:tcPr>
            <w:tcW w:w="4220" w:type="dxa"/>
            <w:vAlign w:val="bottom"/>
            <w:tcBorders>
              <w:bottom w:val="single" w:sz="8" w:color="CCEEFF"/>
            </w:tcBorders>
          </w:tcPr>
          <w:p>
            <w:pPr>
              <w:spacing w:after="0"/>
              <w:rPr>
                <w:sz w:val="22"/>
                <w:szCs w:val="22"/>
                <w:color w:val="auto"/>
              </w:rPr>
            </w:pPr>
          </w:p>
        </w:tc>
        <w:tc>
          <w:tcPr>
            <w:tcW w:w="238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1700" w:type="dxa"/>
            <w:vAlign w:val="bottom"/>
            <w:tcBorders>
              <w:bottom w:val="single" w:sz="8" w:color="auto"/>
            </w:tcBorders>
          </w:tcPr>
          <w:p>
            <w:pPr>
              <w:jc w:val="right"/>
              <w:ind w:right="801"/>
              <w:spacing w:after="0"/>
              <w:rPr>
                <w:sz w:val="20"/>
                <w:szCs w:val="20"/>
                <w:color w:val="auto"/>
              </w:rPr>
            </w:pPr>
            <w:r>
              <w:rPr>
                <w:rFonts w:ascii="Times New Roman" w:cs="Times New Roman" w:eastAsia="Times New Roman" w:hAnsi="Times New Roman"/>
                <w:sz w:val="20"/>
                <w:szCs w:val="20"/>
                <w:b w:val="1"/>
                <w:bCs w:val="1"/>
                <w:color w:val="auto"/>
              </w:rPr>
              <w:t>2021</w:t>
            </w:r>
          </w:p>
        </w:tc>
        <w:tc>
          <w:tcPr>
            <w:tcW w:w="22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801"/>
              <w:spacing w:after="0"/>
              <w:rPr>
                <w:sz w:val="20"/>
                <w:szCs w:val="20"/>
                <w:color w:val="auto"/>
              </w:rPr>
            </w:pPr>
            <w:r>
              <w:rPr>
                <w:rFonts w:ascii="Times New Roman" w:cs="Times New Roman" w:eastAsia="Times New Roman" w:hAnsi="Times New Roman"/>
                <w:sz w:val="20"/>
                <w:szCs w:val="20"/>
                <w:b w:val="1"/>
                <w:bCs w:val="1"/>
                <w:color w:val="auto"/>
              </w:rPr>
              <w:t>2020</w:t>
            </w:r>
          </w:p>
        </w:tc>
      </w:tr>
      <w:tr>
        <w:trPr>
          <w:trHeight w:val="237"/>
        </w:trPr>
        <w:tc>
          <w:tcPr>
            <w:tcW w:w="4220" w:type="dxa"/>
            <w:vAlign w:val="bottom"/>
            <w:shd w:val="clear" w:color="auto" w:fill="CCEEFF"/>
          </w:tcPr>
          <w:p>
            <w:pPr>
              <w:spacing w:after="0"/>
              <w:rPr>
                <w:sz w:val="20"/>
                <w:szCs w:val="20"/>
                <w:color w:val="auto"/>
              </w:rPr>
            </w:pPr>
          </w:p>
        </w:tc>
        <w:tc>
          <w:tcPr>
            <w:tcW w:w="2380" w:type="dxa"/>
            <w:vAlign w:val="bottom"/>
            <w:shd w:val="clear" w:color="auto" w:fill="CCEEFF"/>
          </w:tcPr>
          <w:p>
            <w:pPr>
              <w:ind w:left="1020"/>
              <w:spacing w:after="0"/>
              <w:rPr>
                <w:sz w:val="20"/>
                <w:szCs w:val="20"/>
                <w:color w:val="auto"/>
              </w:rPr>
            </w:pPr>
            <w:r>
              <w:rPr>
                <w:rFonts w:ascii="Times New Roman" w:cs="Times New Roman" w:eastAsia="Times New Roman" w:hAnsi="Times New Roman"/>
                <w:sz w:val="20"/>
                <w:szCs w:val="20"/>
                <w:b w:val="1"/>
                <w:bCs w:val="1"/>
                <w:color w:val="auto"/>
              </w:rPr>
              <w:t>ASSETS</w:t>
            </w:r>
          </w:p>
        </w:tc>
        <w:tc>
          <w:tcPr>
            <w:tcW w:w="50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80" w:type="dxa"/>
            <w:vAlign w:val="bottom"/>
            <w:shd w:val="clear" w:color="auto" w:fill="CCEEFF"/>
          </w:tcPr>
          <w:p>
            <w:pPr>
              <w:spacing w:after="0"/>
              <w:rPr>
                <w:sz w:val="20"/>
                <w:szCs w:val="20"/>
                <w:color w:val="auto"/>
              </w:rPr>
            </w:pPr>
          </w:p>
        </w:tc>
        <w:tc>
          <w:tcPr>
            <w:tcW w:w="1520" w:type="dxa"/>
            <w:vAlign w:val="bottom"/>
            <w:shd w:val="clear" w:color="auto" w:fill="CCEEFF"/>
          </w:tcPr>
          <w:p>
            <w:pPr>
              <w:spacing w:after="0"/>
              <w:rPr>
                <w:sz w:val="20"/>
                <w:szCs w:val="20"/>
                <w:color w:val="auto"/>
              </w:rPr>
            </w:pPr>
          </w:p>
        </w:tc>
      </w:tr>
      <w:tr>
        <w:trPr>
          <w:trHeight w:val="257"/>
        </w:trPr>
        <w:tc>
          <w:tcPr>
            <w:tcW w:w="42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Investments:</w:t>
            </w:r>
          </w:p>
        </w:tc>
        <w:tc>
          <w:tcPr>
            <w:tcW w:w="2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520" w:type="dxa"/>
            <w:vAlign w:val="bottom"/>
          </w:tcPr>
          <w:p>
            <w:pPr>
              <w:spacing w:after="0"/>
              <w:rPr>
                <w:sz w:val="22"/>
                <w:szCs w:val="22"/>
                <w:color w:val="auto"/>
              </w:rPr>
            </w:pPr>
          </w:p>
        </w:tc>
      </w:tr>
      <w:tr>
        <w:trPr>
          <w:trHeight w:val="256"/>
        </w:trPr>
        <w:tc>
          <w:tcPr>
            <w:tcW w:w="4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Registered investment companies</w:t>
            </w:r>
          </w:p>
        </w:tc>
        <w:tc>
          <w:tcPr>
            <w:tcW w:w="288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20"/>
                <w:szCs w:val="20"/>
                <w:color w:val="auto"/>
              </w:rPr>
              <w:t>$</w:t>
            </w:r>
          </w:p>
        </w:tc>
        <w:tc>
          <w:tcPr>
            <w:tcW w:w="1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415,435,537</w:t>
            </w:r>
          </w:p>
        </w:tc>
        <w:tc>
          <w:tcPr>
            <w:tcW w:w="220" w:type="dxa"/>
            <w:vAlign w:val="bottom"/>
            <w:shd w:val="clear" w:color="auto" w:fill="CCEEFF"/>
          </w:tcPr>
          <w:p>
            <w:pPr>
              <w:spacing w:after="0"/>
              <w:rPr>
                <w:sz w:val="22"/>
                <w:szCs w:val="22"/>
                <w:color w:val="auto"/>
              </w:rPr>
            </w:pPr>
          </w:p>
        </w:tc>
        <w:tc>
          <w:tcPr>
            <w:tcW w:w="680" w:type="dxa"/>
            <w:vAlign w:val="bottom"/>
            <w:shd w:val="clear" w:color="auto" w:fill="CCEEFF"/>
          </w:tcPr>
          <w:p>
            <w:pPr>
              <w:jc w:val="right"/>
              <w:ind w:right="481"/>
              <w:spacing w:after="0"/>
              <w:rPr>
                <w:sz w:val="20"/>
                <w:szCs w:val="20"/>
                <w:color w:val="auto"/>
              </w:rPr>
            </w:pPr>
            <w:r>
              <w:rPr>
                <w:rFonts w:ascii="Times New Roman" w:cs="Times New Roman" w:eastAsia="Times New Roman" w:hAnsi="Times New Roman"/>
                <w:sz w:val="20"/>
                <w:szCs w:val="20"/>
                <w:color w:val="auto"/>
                <w:w w:val="79"/>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376,458,387</w:t>
            </w:r>
          </w:p>
        </w:tc>
      </w:tr>
      <w:tr>
        <w:trPr>
          <w:trHeight w:val="257"/>
        </w:trPr>
        <w:tc>
          <w:tcPr>
            <w:tcW w:w="422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Common and collective trusts</w:t>
            </w:r>
          </w:p>
        </w:tc>
        <w:tc>
          <w:tcPr>
            <w:tcW w:w="2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747,619,942</w:t>
            </w:r>
          </w:p>
        </w:tc>
        <w:tc>
          <w:tcPr>
            <w:tcW w:w="2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684,376,954</w:t>
            </w:r>
          </w:p>
        </w:tc>
      </w:tr>
      <w:tr>
        <w:trPr>
          <w:trHeight w:val="257"/>
        </w:trPr>
        <w:tc>
          <w:tcPr>
            <w:tcW w:w="4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Flowserve Corporation common stock</w:t>
            </w:r>
          </w:p>
        </w:tc>
        <w:tc>
          <w:tcPr>
            <w:tcW w:w="2380" w:type="dxa"/>
            <w:vAlign w:val="bottom"/>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spacing w:after="0"/>
              <w:rPr>
                <w:sz w:val="22"/>
                <w:szCs w:val="22"/>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15,844,273</w:t>
            </w:r>
          </w:p>
        </w:tc>
        <w:tc>
          <w:tcPr>
            <w:tcW w:w="220" w:type="dxa"/>
            <w:vAlign w:val="bottom"/>
            <w:shd w:val="clear" w:color="auto" w:fill="CCEEFF"/>
          </w:tcPr>
          <w:p>
            <w:pPr>
              <w:spacing w:after="0"/>
              <w:rPr>
                <w:sz w:val="22"/>
                <w:szCs w:val="22"/>
                <w:color w:val="auto"/>
              </w:rPr>
            </w:pPr>
          </w:p>
        </w:tc>
        <w:tc>
          <w:tcPr>
            <w:tcW w:w="680" w:type="dxa"/>
            <w:vAlign w:val="bottom"/>
            <w:tcBorders>
              <w:bottom w:val="single" w:sz="8" w:color="auto"/>
            </w:tcBorders>
            <w:shd w:val="clear" w:color="auto" w:fill="CCEEFF"/>
          </w:tcPr>
          <w:p>
            <w:pPr>
              <w:spacing w:after="0"/>
              <w:rPr>
                <w:sz w:val="22"/>
                <w:szCs w:val="22"/>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21,540,107</w:t>
            </w:r>
          </w:p>
        </w:tc>
      </w:tr>
      <w:tr>
        <w:trPr>
          <w:trHeight w:val="252"/>
        </w:trPr>
        <w:tc>
          <w:tcPr>
            <w:tcW w:w="422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Total investments at fair value</w:t>
            </w:r>
          </w:p>
        </w:tc>
        <w:tc>
          <w:tcPr>
            <w:tcW w:w="23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1,178,899,752</w:t>
            </w:r>
          </w:p>
        </w:tc>
        <w:tc>
          <w:tcPr>
            <w:tcW w:w="2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1,082,375,448</w:t>
            </w:r>
          </w:p>
        </w:tc>
      </w:tr>
      <w:tr>
        <w:trPr>
          <w:trHeight w:val="521"/>
        </w:trPr>
        <w:tc>
          <w:tcPr>
            <w:tcW w:w="42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Receivables:</w:t>
            </w:r>
          </w:p>
        </w:tc>
        <w:tc>
          <w:tcPr>
            <w:tcW w:w="2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60"/>
        </w:trPr>
        <w:tc>
          <w:tcPr>
            <w:tcW w:w="4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Notes receivable from participants</w:t>
            </w:r>
          </w:p>
        </w:tc>
        <w:tc>
          <w:tcPr>
            <w:tcW w:w="23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1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17,098,425</w:t>
            </w:r>
          </w:p>
        </w:tc>
        <w:tc>
          <w:tcPr>
            <w:tcW w:w="22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18,080,355</w:t>
            </w:r>
          </w:p>
        </w:tc>
      </w:tr>
      <w:tr>
        <w:trPr>
          <w:trHeight w:val="257"/>
        </w:trPr>
        <w:tc>
          <w:tcPr>
            <w:tcW w:w="422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20"/>
                <w:szCs w:val="20"/>
                <w:color w:val="auto"/>
              </w:rPr>
              <w:t>Total receivables</w:t>
            </w:r>
          </w:p>
        </w:tc>
        <w:tc>
          <w:tcPr>
            <w:tcW w:w="2380" w:type="dxa"/>
            <w:vAlign w:val="bottom"/>
            <w:tcBorders>
              <w:bottom w:val="single" w:sz="8" w:color="CCEEFF"/>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1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17,098,425</w:t>
            </w:r>
          </w:p>
        </w:tc>
        <w:tc>
          <w:tcPr>
            <w:tcW w:w="220" w:type="dxa"/>
            <w:vAlign w:val="bottom"/>
            <w:tcBorders>
              <w:bottom w:val="single" w:sz="8" w:color="CCEEFF"/>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18,080,355</w:t>
            </w:r>
          </w:p>
        </w:tc>
      </w:tr>
      <w:tr>
        <w:trPr>
          <w:trHeight w:val="250"/>
        </w:trPr>
        <w:tc>
          <w:tcPr>
            <w:tcW w:w="4220" w:type="dxa"/>
            <w:vAlign w:val="bottom"/>
            <w:shd w:val="clear" w:color="auto" w:fill="CCEEFF"/>
          </w:tcPr>
          <w:p>
            <w:pPr>
              <w:spacing w:after="0"/>
              <w:rPr>
                <w:sz w:val="21"/>
                <w:szCs w:val="21"/>
                <w:color w:val="auto"/>
              </w:rPr>
            </w:pPr>
          </w:p>
        </w:tc>
        <w:tc>
          <w:tcPr>
            <w:tcW w:w="238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17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80" w:type="dxa"/>
            <w:vAlign w:val="bottom"/>
            <w:shd w:val="clear" w:color="auto" w:fill="CCEEFF"/>
          </w:tcPr>
          <w:p>
            <w:pPr>
              <w:spacing w:after="0"/>
              <w:rPr>
                <w:sz w:val="21"/>
                <w:szCs w:val="21"/>
                <w:color w:val="auto"/>
              </w:rPr>
            </w:pPr>
          </w:p>
        </w:tc>
        <w:tc>
          <w:tcPr>
            <w:tcW w:w="1520" w:type="dxa"/>
            <w:vAlign w:val="bottom"/>
            <w:shd w:val="clear" w:color="auto" w:fill="CCEEFF"/>
          </w:tcPr>
          <w:p>
            <w:pPr>
              <w:spacing w:after="0"/>
              <w:rPr>
                <w:sz w:val="21"/>
                <w:szCs w:val="21"/>
                <w:color w:val="auto"/>
              </w:rPr>
            </w:pPr>
          </w:p>
        </w:tc>
      </w:tr>
      <w:tr>
        <w:trPr>
          <w:trHeight w:val="257"/>
        </w:trPr>
        <w:tc>
          <w:tcPr>
            <w:tcW w:w="422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Net assets available for benefits</w:t>
            </w:r>
          </w:p>
        </w:tc>
        <w:tc>
          <w:tcPr>
            <w:tcW w:w="2880" w:type="dxa"/>
            <w:vAlign w:val="bottom"/>
            <w:gridSpan w:val="2"/>
          </w:tcPr>
          <w:p>
            <w:pPr>
              <w:jc w:val="right"/>
              <w:ind w:right="380"/>
              <w:spacing w:after="0"/>
              <w:rPr>
                <w:sz w:val="20"/>
                <w:szCs w:val="20"/>
                <w:color w:val="auto"/>
              </w:rPr>
            </w:pPr>
            <w:r>
              <w:rPr>
                <w:rFonts w:ascii="Times New Roman" w:cs="Times New Roman" w:eastAsia="Times New Roman" w:hAnsi="Times New Roman"/>
                <w:sz w:val="20"/>
                <w:szCs w:val="20"/>
                <w:color w:val="auto"/>
              </w:rPr>
              <w:t>$</w:t>
            </w:r>
          </w:p>
        </w:tc>
        <w:tc>
          <w:tcPr>
            <w:tcW w:w="1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1,195,998,177</w:t>
            </w:r>
          </w:p>
        </w:tc>
        <w:tc>
          <w:tcPr>
            <w:tcW w:w="220" w:type="dxa"/>
            <w:vAlign w:val="bottom"/>
          </w:tcPr>
          <w:p>
            <w:pPr>
              <w:spacing w:after="0"/>
              <w:rPr>
                <w:sz w:val="22"/>
                <w:szCs w:val="22"/>
                <w:color w:val="auto"/>
              </w:rPr>
            </w:pPr>
          </w:p>
        </w:tc>
        <w:tc>
          <w:tcPr>
            <w:tcW w:w="680" w:type="dxa"/>
            <w:vAlign w:val="bottom"/>
          </w:tcPr>
          <w:p>
            <w:pPr>
              <w:jc w:val="right"/>
              <w:ind w:right="481"/>
              <w:spacing w:after="0"/>
              <w:rPr>
                <w:sz w:val="20"/>
                <w:szCs w:val="20"/>
                <w:color w:val="auto"/>
              </w:rPr>
            </w:pPr>
            <w:r>
              <w:rPr>
                <w:rFonts w:ascii="Times New Roman" w:cs="Times New Roman" w:eastAsia="Times New Roman" w:hAnsi="Times New Roman"/>
                <w:sz w:val="20"/>
                <w:szCs w:val="20"/>
                <w:color w:val="auto"/>
                <w:w w:val="79"/>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1,100,455,803</w:t>
            </w:r>
          </w:p>
        </w:tc>
      </w:tr>
      <w:tr>
        <w:trPr>
          <w:trHeight w:val="20"/>
        </w:trPr>
        <w:tc>
          <w:tcPr>
            <w:tcW w:w="42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The accompanying notes are an integral part of these financial statements.</w:t>
      </w:r>
    </w:p>
    <w:p>
      <w:pPr>
        <w:sectPr>
          <w:pgSz w:w="11900" w:h="16838" w:orient="portrait"/>
          <w:cols w:equalWidth="0" w:num="1">
            <w:col w:w="11220"/>
          </w:cols>
          <w:pgMar w:left="320" w:top="597" w:right="359" w:bottom="1440" w:gutter="0" w:footer="0" w:header="0"/>
        </w:sectPr>
      </w:pPr>
    </w:p>
    <w:p>
      <w:pPr>
        <w:spacing w:after="0" w:line="200" w:lineRule="exact"/>
        <w:rPr>
          <w:sz w:val="20"/>
          <w:szCs w:val="20"/>
          <w:color w:val="auto"/>
        </w:rPr>
      </w:pPr>
    </w:p>
    <w:p>
      <w:pPr>
        <w:spacing w:after="0" w:line="3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6"/>
          <w:szCs w:val="16"/>
          <w:color w:val="auto"/>
        </w:rPr>
        <w:t>2</w:t>
      </w:r>
    </w:p>
    <w:p>
      <w:pPr>
        <w:sectPr>
          <w:pgSz w:w="11900" w:h="16838" w:orient="portrait"/>
          <w:cols w:equalWidth="0" w:num="1">
            <w:col w:w="11220"/>
          </w:cols>
          <w:pgMar w:left="320" w:top="597" w:right="359" w:bottom="1440" w:gutter="0" w:footer="0" w:header="0"/>
          <w:type w:val="continuous"/>
        </w:sectPr>
      </w:pPr>
    </w:p>
    <w:bookmarkStart w:id="9" w:name="page10"/>
    <w:bookmarkEnd w:id="9"/>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right="4440"/>
        <w:spacing w:after="0" w:line="273" w:lineRule="auto"/>
        <w:rPr>
          <w:sz w:val="20"/>
          <w:szCs w:val="20"/>
          <w:color w:val="auto"/>
        </w:rPr>
      </w:pPr>
      <w:r>
        <w:rPr>
          <w:rFonts w:ascii="Times New Roman" w:cs="Times New Roman" w:eastAsia="Times New Roman" w:hAnsi="Times New Roman"/>
          <w:sz w:val="20"/>
          <w:szCs w:val="20"/>
          <w:b w:val="1"/>
          <w:bCs w:val="1"/>
          <w:color w:val="auto"/>
        </w:rPr>
        <w:t>STATEMENT OF CHANGES IN NET ASSETS AVAILABLE FOR BENEFITS FOR THE YEAR ENDED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113665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b w:val="1"/>
          <w:bCs w:val="1"/>
          <w:color w:val="auto"/>
        </w:rPr>
        <w:t>Additions to net 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06285" cy="1631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06285" cy="163195"/>
                    </a:xfrm>
                    <a:prstGeom prst="rect">
                      <a:avLst/>
                    </a:prstGeom>
                    <a:noFill/>
                  </pic:spPr>
                </pic:pic>
              </a:graphicData>
            </a:graphic>
          </wp:anchor>
        </w:drawing>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952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Investment income:</w:t>
            </w:r>
          </w:p>
        </w:tc>
        <w:tc>
          <w:tcPr>
            <w:tcW w:w="30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259"/>
        </w:trPr>
        <w:tc>
          <w:tcPr>
            <w:tcW w:w="95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Net appreciation in fair value of investments</w:t>
            </w:r>
          </w:p>
        </w:tc>
        <w:tc>
          <w:tcPr>
            <w:tcW w:w="300" w:type="dxa"/>
            <w:vAlign w:val="bottom"/>
            <w:shd w:val="clear" w:color="auto" w:fill="CCEEFF"/>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116,168,328</w:t>
            </w:r>
          </w:p>
        </w:tc>
      </w:tr>
      <w:tr>
        <w:trPr>
          <w:trHeight w:val="257"/>
        </w:trPr>
        <w:tc>
          <w:tcPr>
            <w:tcW w:w="952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Dividend income</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29,643,052</w:t>
            </w:r>
          </w:p>
        </w:tc>
      </w:tr>
      <w:tr>
        <w:trPr>
          <w:trHeight w:val="257"/>
        </w:trPr>
        <w:tc>
          <w:tcPr>
            <w:tcW w:w="95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Interest income</w:t>
            </w:r>
          </w:p>
        </w:tc>
        <w:tc>
          <w:tcPr>
            <w:tcW w:w="30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1,751,359</w:t>
            </w:r>
          </w:p>
        </w:tc>
      </w:tr>
      <w:tr>
        <w:trPr>
          <w:trHeight w:val="250"/>
        </w:trPr>
        <w:tc>
          <w:tcPr>
            <w:tcW w:w="952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Total investment income</w:t>
            </w:r>
          </w:p>
        </w:tc>
        <w:tc>
          <w:tcPr>
            <w:tcW w:w="30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147,562,739</w:t>
            </w:r>
          </w:p>
        </w:tc>
      </w:tr>
      <w:tr>
        <w:trPr>
          <w:trHeight w:val="162"/>
        </w:trPr>
        <w:tc>
          <w:tcPr>
            <w:tcW w:w="95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380" w:type="dxa"/>
            <w:vAlign w:val="bottom"/>
            <w:shd w:val="clear" w:color="auto" w:fill="CCEEFF"/>
          </w:tcPr>
          <w:p>
            <w:pPr>
              <w:spacing w:after="0"/>
              <w:rPr>
                <w:sz w:val="14"/>
                <w:szCs w:val="14"/>
                <w:color w:val="auto"/>
              </w:rPr>
            </w:pPr>
          </w:p>
        </w:tc>
      </w:tr>
      <w:tr>
        <w:trPr>
          <w:trHeight w:val="257"/>
        </w:trPr>
        <w:tc>
          <w:tcPr>
            <w:tcW w:w="952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Contributions:</w:t>
            </w:r>
          </w:p>
        </w:tc>
        <w:tc>
          <w:tcPr>
            <w:tcW w:w="30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257"/>
        </w:trPr>
        <w:tc>
          <w:tcPr>
            <w:tcW w:w="95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Employer</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15,741,958</w:t>
            </w:r>
          </w:p>
        </w:tc>
      </w:tr>
      <w:tr>
        <w:trPr>
          <w:trHeight w:val="256"/>
        </w:trPr>
        <w:tc>
          <w:tcPr>
            <w:tcW w:w="952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20"/>
                <w:szCs w:val="20"/>
                <w:color w:val="auto"/>
              </w:rPr>
              <w:t>Participant</w:t>
            </w:r>
          </w:p>
        </w:tc>
        <w:tc>
          <w:tcPr>
            <w:tcW w:w="3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44,686,544</w:t>
            </w:r>
          </w:p>
        </w:tc>
      </w:tr>
      <w:tr>
        <w:trPr>
          <w:trHeight w:val="250"/>
        </w:trPr>
        <w:tc>
          <w:tcPr>
            <w:tcW w:w="95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Total contributions</w:t>
            </w:r>
          </w:p>
        </w:tc>
        <w:tc>
          <w:tcPr>
            <w:tcW w:w="3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60,428,502</w:t>
            </w:r>
          </w:p>
        </w:tc>
      </w:tr>
      <w:tr>
        <w:trPr>
          <w:trHeight w:val="162"/>
        </w:trPr>
        <w:tc>
          <w:tcPr>
            <w:tcW w:w="9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tcPr>
          <w:p>
            <w:pPr>
              <w:spacing w:after="0"/>
              <w:rPr>
                <w:sz w:val="14"/>
                <w:szCs w:val="14"/>
                <w:color w:val="auto"/>
              </w:rPr>
            </w:pPr>
          </w:p>
        </w:tc>
      </w:tr>
      <w:tr>
        <w:trPr>
          <w:trHeight w:val="256"/>
        </w:trPr>
        <w:tc>
          <w:tcPr>
            <w:tcW w:w="95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20"/>
                <w:szCs w:val="20"/>
                <w:color w:val="auto"/>
              </w:rPr>
              <w:t>Other:</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spacing w:after="0"/>
              <w:rPr>
                <w:sz w:val="22"/>
                <w:szCs w:val="22"/>
                <w:color w:val="auto"/>
              </w:rPr>
            </w:pPr>
          </w:p>
        </w:tc>
      </w:tr>
      <w:tr>
        <w:trPr>
          <w:trHeight w:val="257"/>
        </w:trPr>
        <w:tc>
          <w:tcPr>
            <w:tcW w:w="952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Interest income on notes receivable from participants</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932,667</w:t>
            </w:r>
          </w:p>
        </w:tc>
      </w:tr>
      <w:tr>
        <w:trPr>
          <w:trHeight w:val="256"/>
        </w:trPr>
        <w:tc>
          <w:tcPr>
            <w:tcW w:w="95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Other additions</w:t>
            </w:r>
          </w:p>
        </w:tc>
        <w:tc>
          <w:tcPr>
            <w:tcW w:w="30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308,449</w:t>
            </w:r>
          </w:p>
        </w:tc>
      </w:tr>
      <w:tr>
        <w:trPr>
          <w:trHeight w:val="250"/>
        </w:trPr>
        <w:tc>
          <w:tcPr>
            <w:tcW w:w="952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20"/>
                <w:szCs w:val="20"/>
                <w:color w:val="auto"/>
              </w:rPr>
              <w:t>Total other</w:t>
            </w:r>
          </w:p>
        </w:tc>
        <w:tc>
          <w:tcPr>
            <w:tcW w:w="3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1,241,116</w:t>
            </w:r>
          </w:p>
        </w:tc>
      </w:tr>
      <w:tr>
        <w:trPr>
          <w:trHeight w:val="250"/>
        </w:trPr>
        <w:tc>
          <w:tcPr>
            <w:tcW w:w="95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20"/>
                <w:szCs w:val="20"/>
                <w:color w:val="auto"/>
              </w:rPr>
              <w:t>Total additions</w:t>
            </w:r>
          </w:p>
        </w:tc>
        <w:tc>
          <w:tcPr>
            <w:tcW w:w="3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209,232,357</w:t>
            </w:r>
          </w:p>
        </w:tc>
      </w:tr>
      <w:tr>
        <w:trPr>
          <w:trHeight w:val="162"/>
        </w:trPr>
        <w:tc>
          <w:tcPr>
            <w:tcW w:w="9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tcPr>
          <w:p>
            <w:pPr>
              <w:spacing w:after="0"/>
              <w:rPr>
                <w:sz w:val="14"/>
                <w:szCs w:val="14"/>
                <w:color w:val="auto"/>
              </w:rPr>
            </w:pPr>
          </w:p>
        </w:tc>
      </w:tr>
      <w:tr>
        <w:trPr>
          <w:trHeight w:val="256"/>
        </w:trPr>
        <w:tc>
          <w:tcPr>
            <w:tcW w:w="95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b w:val="1"/>
                <w:bCs w:val="1"/>
                <w:color w:val="auto"/>
              </w:rPr>
              <w:t>Deductions from net assets</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spacing w:after="0"/>
              <w:rPr>
                <w:sz w:val="22"/>
                <w:szCs w:val="22"/>
                <w:color w:val="auto"/>
              </w:rPr>
            </w:pPr>
          </w:p>
        </w:tc>
      </w:tr>
      <w:tr>
        <w:trPr>
          <w:trHeight w:val="257"/>
        </w:trPr>
        <w:tc>
          <w:tcPr>
            <w:tcW w:w="952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Benefits paid to participants</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113,550,408</w:t>
            </w:r>
          </w:p>
        </w:tc>
      </w:tr>
      <w:tr>
        <w:trPr>
          <w:trHeight w:val="257"/>
        </w:trPr>
        <w:tc>
          <w:tcPr>
            <w:tcW w:w="95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Other deductions</w:t>
            </w:r>
          </w:p>
        </w:tc>
        <w:tc>
          <w:tcPr>
            <w:tcW w:w="30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139,575</w:t>
            </w:r>
          </w:p>
        </w:tc>
      </w:tr>
      <w:tr>
        <w:trPr>
          <w:trHeight w:val="250"/>
        </w:trPr>
        <w:tc>
          <w:tcPr>
            <w:tcW w:w="952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20"/>
                <w:szCs w:val="20"/>
                <w:color w:val="auto"/>
              </w:rPr>
              <w:t>Total deductions</w:t>
            </w:r>
          </w:p>
        </w:tc>
        <w:tc>
          <w:tcPr>
            <w:tcW w:w="3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113,689,983</w:t>
            </w:r>
          </w:p>
        </w:tc>
      </w:tr>
      <w:tr>
        <w:trPr>
          <w:trHeight w:val="250"/>
        </w:trPr>
        <w:tc>
          <w:tcPr>
            <w:tcW w:w="95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Increase in net assets available for benefits</w:t>
            </w:r>
          </w:p>
        </w:tc>
        <w:tc>
          <w:tcPr>
            <w:tcW w:w="300" w:type="dxa"/>
            <w:vAlign w:val="bottom"/>
            <w:shd w:val="clear" w:color="auto" w:fill="CCEEFF"/>
          </w:tcPr>
          <w:p>
            <w:pPr>
              <w:spacing w:after="0"/>
              <w:rPr>
                <w:sz w:val="21"/>
                <w:szCs w:val="21"/>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95,542,374</w:t>
            </w:r>
          </w:p>
        </w:tc>
      </w:tr>
      <w:tr>
        <w:trPr>
          <w:trHeight w:val="162"/>
        </w:trPr>
        <w:tc>
          <w:tcPr>
            <w:tcW w:w="9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80" w:type="dxa"/>
            <w:vAlign w:val="bottom"/>
          </w:tcPr>
          <w:p>
            <w:pPr>
              <w:spacing w:after="0"/>
              <w:rPr>
                <w:sz w:val="14"/>
                <w:szCs w:val="14"/>
                <w:color w:val="auto"/>
              </w:rPr>
            </w:pPr>
          </w:p>
        </w:tc>
      </w:tr>
      <w:tr>
        <w:trPr>
          <w:trHeight w:val="257"/>
        </w:trPr>
        <w:tc>
          <w:tcPr>
            <w:tcW w:w="95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Net assets available for benefits:</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spacing w:after="0"/>
              <w:rPr>
                <w:sz w:val="22"/>
                <w:szCs w:val="22"/>
                <w:color w:val="auto"/>
              </w:rPr>
            </w:pPr>
          </w:p>
        </w:tc>
      </w:tr>
      <w:tr>
        <w:trPr>
          <w:trHeight w:val="256"/>
        </w:trPr>
        <w:tc>
          <w:tcPr>
            <w:tcW w:w="952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20"/>
                <w:szCs w:val="20"/>
                <w:color w:val="auto"/>
              </w:rPr>
              <w:t>Beginning of year</w:t>
            </w:r>
          </w:p>
        </w:tc>
        <w:tc>
          <w:tcPr>
            <w:tcW w:w="3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1,100,455,803</w:t>
            </w:r>
          </w:p>
        </w:tc>
      </w:tr>
      <w:tr>
        <w:trPr>
          <w:trHeight w:val="275"/>
        </w:trPr>
        <w:tc>
          <w:tcPr>
            <w:tcW w:w="9520" w:type="dxa"/>
            <w:vAlign w:val="bottom"/>
            <w:tcBorders>
              <w:bottom w:val="single" w:sz="8" w:color="CCEEFF"/>
            </w:tcBorders>
            <w:shd w:val="clear" w:color="auto" w:fill="CCEEFF"/>
          </w:tcPr>
          <w:p>
            <w:pPr>
              <w:ind w:left="220"/>
              <w:spacing w:after="0"/>
              <w:rPr>
                <w:sz w:val="20"/>
                <w:szCs w:val="20"/>
                <w:color w:val="auto"/>
              </w:rPr>
            </w:pPr>
            <w:r>
              <w:rPr>
                <w:rFonts w:ascii="Times New Roman" w:cs="Times New Roman" w:eastAsia="Times New Roman" w:hAnsi="Times New Roman"/>
                <w:sz w:val="20"/>
                <w:szCs w:val="20"/>
                <w:color w:val="auto"/>
              </w:rPr>
              <w:t>End of year</w:t>
            </w:r>
          </w:p>
        </w:tc>
        <w:tc>
          <w:tcPr>
            <w:tcW w:w="300" w:type="dxa"/>
            <w:vAlign w:val="bottom"/>
            <w:tcBorders>
              <w:bottom w:val="single" w:sz="8" w:color="auto"/>
            </w:tcBorders>
            <w:shd w:val="clear" w:color="auto" w:fill="CCEEFF"/>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1,195,998,177</w:t>
            </w:r>
          </w:p>
        </w:tc>
      </w:tr>
      <w:tr>
        <w:trPr>
          <w:trHeight w:val="20"/>
        </w:trPr>
        <w:tc>
          <w:tcPr>
            <w:tcW w:w="95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The accompanying notes are an integral part of these financial statements.</w:t>
      </w:r>
    </w:p>
    <w:p>
      <w:pPr>
        <w:sectPr>
          <w:pgSz w:w="11900" w:h="16838" w:orient="portrait"/>
          <w:cols w:equalWidth="0" w:num="1">
            <w:col w:w="11200"/>
          </w:cols>
          <w:pgMar w:left="320" w:top="597" w:right="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6"/>
          <w:szCs w:val="16"/>
          <w:color w:val="auto"/>
        </w:rPr>
        <w:t>3</w:t>
      </w:r>
    </w:p>
    <w:p>
      <w:pPr>
        <w:sectPr>
          <w:pgSz w:w="11900" w:h="16838" w:orient="portrait"/>
          <w:cols w:equalWidth="0" w:num="1">
            <w:col w:w="11200"/>
          </w:cols>
          <w:pgMar w:left="320" w:top="597" w:right="379" w:bottom="1440" w:gutter="0" w:footer="0" w:header="0"/>
          <w:type w:val="continuous"/>
        </w:sectPr>
      </w:pPr>
    </w:p>
    <w:bookmarkStart w:id="10" w:name="page11"/>
    <w:bookmarkEnd w:id="10"/>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b w:val="1"/>
          <w:bCs w:val="1"/>
          <w:color w:val="auto"/>
        </w:rPr>
        <w:t>NOTES TO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25400</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20"/>
          <w:szCs w:val="20"/>
          <w:b w:val="1"/>
          <w:bCs w:val="1"/>
          <w:color w:val="auto"/>
        </w:rPr>
        <w:t>1.</w:t>
      </w:r>
      <w:r>
        <w:rPr>
          <w:sz w:val="20"/>
          <w:szCs w:val="20"/>
          <w:color w:val="auto"/>
        </w:rPr>
        <w:tab/>
      </w:r>
      <w:r>
        <w:rPr>
          <w:rFonts w:ascii="Times New Roman" w:cs="Times New Roman" w:eastAsia="Times New Roman" w:hAnsi="Times New Roman"/>
          <w:sz w:val="19"/>
          <w:szCs w:val="19"/>
          <w:b w:val="1"/>
          <w:bCs w:val="1"/>
          <w:color w:val="auto"/>
        </w:rPr>
        <w:t>DESCRIPTION OF THE PLAN</w:t>
      </w:r>
    </w:p>
    <w:p>
      <w:pPr>
        <w:spacing w:after="0" w:line="26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0"/>
          <w:szCs w:val="20"/>
          <w:color w:val="auto"/>
        </w:rPr>
        <w:t>The following description of the Flowserve Corporation Retirement Savings Plan (the “Plan”) provides only general information.</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Participants should refer to the Plan document for a more complete description of the Plan's provisions.</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General and eligibility</w:t>
      </w:r>
    </w:p>
    <w:p>
      <w:pPr>
        <w:spacing w:after="0" w:line="247" w:lineRule="exact"/>
        <w:rPr>
          <w:sz w:val="20"/>
          <w:szCs w:val="20"/>
          <w:color w:val="auto"/>
        </w:rPr>
      </w:pPr>
    </w:p>
    <w:p>
      <w:pPr>
        <w:jc w:val="both"/>
        <w:ind w:firstLine="405"/>
        <w:spacing w:after="0" w:line="288" w:lineRule="auto"/>
        <w:rPr>
          <w:sz w:val="20"/>
          <w:szCs w:val="20"/>
          <w:color w:val="auto"/>
        </w:rPr>
      </w:pPr>
      <w:r>
        <w:rPr>
          <w:rFonts w:ascii="Times New Roman" w:cs="Times New Roman" w:eastAsia="Times New Roman" w:hAnsi="Times New Roman"/>
          <w:sz w:val="19"/>
          <w:szCs w:val="19"/>
          <w:color w:val="auto"/>
        </w:rPr>
        <w:t>The Plan is a defined contribution plan. Full-time and part-time employees of Flowserve Corporation and its wholly-owned subsidiaries (collectively, the “Company”) who are located in the United States ("U.S.") are eligible to participate in the Plan upon commencement of their employment. The Plan is subject to the provisions of the Employee Retirement Income Security Act of 1974, as amended (“ERISA”).</w:t>
      </w:r>
    </w:p>
    <w:p>
      <w:pPr>
        <w:spacing w:after="0" w:line="1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Participant accounts</w:t>
      </w:r>
    </w:p>
    <w:p>
      <w:pPr>
        <w:spacing w:after="0" w:line="260"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20"/>
          <w:szCs w:val="20"/>
          <w:color w:val="auto"/>
        </w:rPr>
        <w:t>Each participant account is credited with the participant's contributions, the employer's contributions and an allocation of investment income from each fund that the participant is invested in as defined in the Plan document. The benefit to which a participant is entitled is the benefit that can be provided from the participant's vested account. Additionally, the Plan has certain expenses that are deducted from participant accounts.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Contributions</w:t>
      </w:r>
    </w:p>
    <w:p>
      <w:pPr>
        <w:spacing w:after="0" w:line="260" w:lineRule="exact"/>
        <w:rPr>
          <w:sz w:val="20"/>
          <w:szCs w:val="20"/>
          <w:color w:val="auto"/>
        </w:rPr>
      </w:pPr>
    </w:p>
    <w:p>
      <w:pPr>
        <w:jc w:val="both"/>
        <w:ind w:firstLine="405"/>
        <w:spacing w:after="0" w:line="251" w:lineRule="auto"/>
        <w:rPr>
          <w:sz w:val="20"/>
          <w:szCs w:val="20"/>
          <w:color w:val="auto"/>
        </w:rPr>
      </w:pPr>
      <w:r>
        <w:rPr>
          <w:rFonts w:ascii="Times New Roman" w:cs="Times New Roman" w:eastAsia="Times New Roman" w:hAnsi="Times New Roman"/>
          <w:sz w:val="20"/>
          <w:szCs w:val="20"/>
          <w:color w:val="auto"/>
        </w:rPr>
        <w:t>Participants contribute a percentage of their compensation on a pre-tax and/or after-tax basis, as defined in the Plan document. Unless eligible participants elect otherwise, they automatically contribute 3% of eligible compensation to the Plan, which will automatically increase by 1% each year until contributions reach 10% of eligible compensation. Additionally, the maximum contribution rate for participants is generally 50% of eligible compensation, of which up to $19,500 (the maximum annual salary deferral contribution limit as set forth by the Internal Revenue Code (the “Code”) for 2021) may be made pre-tax. All participants who were eligible to make elective deferrals under the Plan and who had attained age 50 before the close of the year were eligible to make additional catch-up contributions of up to $6,500 during 2021. Participant contributions are invested based on each participant's election.</w:t>
      </w:r>
    </w:p>
    <w:p>
      <w:pPr>
        <w:spacing w:after="0" w:line="22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9"/>
          <w:szCs w:val="19"/>
          <w:color w:val="auto"/>
        </w:rPr>
        <w:t>The Company matches 75% of participant contributions up to 6% of eligible compensation, except for union employees represented by</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w:t>
      </w:r>
    </w:p>
    <w:p>
      <w:pPr>
        <w:spacing w:after="0" w:line="227" w:lineRule="exact"/>
        <w:rPr>
          <w:sz w:val="20"/>
          <w:szCs w:val="20"/>
          <w:color w:val="auto"/>
        </w:rPr>
      </w:pPr>
    </w:p>
    <w:p>
      <w:pPr>
        <w:ind w:left="640" w:hanging="146"/>
        <w:spacing w:after="0"/>
        <w:tabs>
          <w:tab w:leader="none" w:pos="6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United Steelworkers of America at the Vernon, California facility;</w:t>
      </w:r>
    </w:p>
    <w:p>
      <w:pPr>
        <w:spacing w:after="0" w:line="28" w:lineRule="exact"/>
        <w:rPr>
          <w:rFonts w:ascii="Times New Roman" w:cs="Times New Roman" w:eastAsia="Times New Roman" w:hAnsi="Times New Roman"/>
          <w:sz w:val="20"/>
          <w:szCs w:val="20"/>
          <w:color w:val="auto"/>
        </w:rPr>
      </w:pPr>
    </w:p>
    <w:p>
      <w:pPr>
        <w:ind w:left="640" w:hanging="146"/>
        <w:spacing w:after="0"/>
        <w:tabs>
          <w:tab w:leader="none" w:pos="6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United Steelworkers of America, AFL-CIO-CLC, District 30 Local Number 3320 at the Dayton, Ohio facility;</w:t>
      </w:r>
    </w:p>
    <w:p>
      <w:pPr>
        <w:spacing w:after="0" w:line="227" w:lineRule="exact"/>
        <w:rPr>
          <w:sz w:val="20"/>
          <w:szCs w:val="20"/>
          <w:color w:val="auto"/>
        </w:rPr>
      </w:pPr>
    </w:p>
    <w:p>
      <w:pPr>
        <w:ind w:firstLine="405"/>
        <w:spacing w:after="0" w:line="283" w:lineRule="auto"/>
        <w:rPr>
          <w:sz w:val="20"/>
          <w:szCs w:val="20"/>
          <w:color w:val="auto"/>
        </w:rPr>
      </w:pPr>
      <w:r>
        <w:rPr>
          <w:rFonts w:ascii="Times New Roman" w:cs="Times New Roman" w:eastAsia="Times New Roman" w:hAnsi="Times New Roman"/>
          <w:sz w:val="20"/>
          <w:szCs w:val="20"/>
          <w:color w:val="auto"/>
        </w:rPr>
        <w:t>Each of the above exception groups receives Company matching contributions of 50% of participant contributions up to 6% of eligible compensation.</w:t>
      </w:r>
    </w:p>
    <w:p>
      <w:pPr>
        <w:spacing w:after="0" w:line="187" w:lineRule="exact"/>
        <w:rPr>
          <w:sz w:val="20"/>
          <w:szCs w:val="20"/>
          <w:color w:val="auto"/>
        </w:rPr>
      </w:pPr>
    </w:p>
    <w:p>
      <w:pPr>
        <w:ind w:firstLine="405"/>
        <w:spacing w:after="0" w:line="269" w:lineRule="auto"/>
        <w:rPr>
          <w:sz w:val="20"/>
          <w:szCs w:val="20"/>
          <w:color w:val="auto"/>
        </w:rPr>
      </w:pPr>
      <w:r>
        <w:rPr>
          <w:rFonts w:ascii="Times New Roman" w:cs="Times New Roman" w:eastAsia="Times New Roman" w:hAnsi="Times New Roman"/>
          <w:sz w:val="20"/>
          <w:szCs w:val="20"/>
          <w:color w:val="auto"/>
        </w:rPr>
        <w:t>Company matching contributions are made in cash and allocated among a participant's account in the same percentage in which the participant directs his or her contributions.</w:t>
      </w:r>
    </w:p>
    <w:p>
      <w:pPr>
        <w:spacing w:after="0" w:line="200" w:lineRule="exact"/>
        <w:rPr>
          <w:sz w:val="20"/>
          <w:szCs w:val="20"/>
          <w:color w:val="auto"/>
        </w:rPr>
      </w:pPr>
    </w:p>
    <w:p>
      <w:pPr>
        <w:ind w:firstLine="405"/>
        <w:spacing w:after="0" w:line="269" w:lineRule="auto"/>
        <w:rPr>
          <w:sz w:val="20"/>
          <w:szCs w:val="20"/>
          <w:color w:val="auto"/>
        </w:rPr>
      </w:pPr>
      <w:r>
        <w:rPr>
          <w:rFonts w:ascii="Times New Roman" w:cs="Times New Roman" w:eastAsia="Times New Roman" w:hAnsi="Times New Roman"/>
          <w:sz w:val="20"/>
          <w:szCs w:val="20"/>
          <w:color w:val="auto"/>
        </w:rPr>
        <w:t>The Plan allows all participant and employer contributions and amounts allocated to participant accounts to be invested in accordance with participant investment directions.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240"/>
          </w:cols>
          <w:pgMar w:left="320" w:top="111"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25400</wp:posOffset>
            </wp:positionV>
            <wp:extent cx="709803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Vesting</w:t>
      </w:r>
    </w:p>
    <w:p>
      <w:pPr>
        <w:spacing w:after="0" w:line="260" w:lineRule="exact"/>
        <w:rPr>
          <w:sz w:val="20"/>
          <w:szCs w:val="20"/>
          <w:color w:val="auto"/>
        </w:rPr>
      </w:pPr>
    </w:p>
    <w:p>
      <w:pPr>
        <w:jc w:val="both"/>
        <w:ind w:right="20" w:firstLine="405"/>
        <w:spacing w:after="0" w:line="261" w:lineRule="auto"/>
        <w:rPr>
          <w:sz w:val="20"/>
          <w:szCs w:val="20"/>
          <w:color w:val="auto"/>
        </w:rPr>
      </w:pPr>
      <w:r>
        <w:rPr>
          <w:rFonts w:ascii="Times New Roman" w:cs="Times New Roman" w:eastAsia="Times New Roman" w:hAnsi="Times New Roman"/>
          <w:sz w:val="20"/>
          <w:szCs w:val="20"/>
          <w:color w:val="auto"/>
        </w:rPr>
        <w:t>Participants are immediately vested in their contributions and associated earnings thereon. Participants become 20% vested in the Company's contributions and associated earnings after one year of service. Vesting increases by 20% for each additional year of service until a participant becomes fully vested after five years of service.</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Forfeitures</w:t>
      </w:r>
    </w:p>
    <w:p>
      <w:pPr>
        <w:spacing w:after="0" w:line="260"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20"/>
          <w:szCs w:val="20"/>
          <w:color w:val="auto"/>
        </w:rPr>
        <w:t>Forfeitures are used to reduce the Company's contributions. During 2021, participants forfeited $1,206,428 of non-vested account balances. In 2021, employer contributions were reduced by $1,166,637 from previously forfeited balances, in accordance with the Plan document. Unutilized forfeitures at December 31, 2021 and 2020 were $68,572 and $28,781, respectively.</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Payment of benefits</w:t>
      </w:r>
    </w:p>
    <w:p>
      <w:pPr>
        <w:spacing w:after="0" w:line="247" w:lineRule="exact"/>
        <w:rPr>
          <w:sz w:val="20"/>
          <w:szCs w:val="20"/>
          <w:color w:val="auto"/>
        </w:rPr>
      </w:pPr>
    </w:p>
    <w:p>
      <w:pPr>
        <w:jc w:val="both"/>
        <w:ind w:firstLine="405"/>
        <w:spacing w:after="0" w:line="268" w:lineRule="auto"/>
        <w:rPr>
          <w:sz w:val="20"/>
          <w:szCs w:val="20"/>
          <w:color w:val="auto"/>
        </w:rPr>
      </w:pPr>
      <w:r>
        <w:rPr>
          <w:rFonts w:ascii="Times New Roman" w:cs="Times New Roman" w:eastAsia="Times New Roman" w:hAnsi="Times New Roman"/>
          <w:sz w:val="20"/>
          <w:szCs w:val="20"/>
          <w:color w:val="auto"/>
        </w:rPr>
        <w:t>Terminated participants may be paid their vested balance in a lump sum or rollover as soon as administratively possible after their date of termination. Active participants who qualify for an in-service withdrawal may be paid their benefits in a single sum cash payment or rollover as soon as administratively possible after the approval of their withdrawal application.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Administration</w:t>
      </w:r>
    </w:p>
    <w:p>
      <w:pPr>
        <w:spacing w:after="0" w:line="260" w:lineRule="exact"/>
        <w:rPr>
          <w:sz w:val="20"/>
          <w:szCs w:val="20"/>
          <w:color w:val="auto"/>
        </w:rPr>
      </w:pPr>
    </w:p>
    <w:p>
      <w:pPr>
        <w:jc w:val="both"/>
        <w:ind w:firstLine="405"/>
        <w:spacing w:after="0" w:line="269" w:lineRule="auto"/>
        <w:rPr>
          <w:sz w:val="20"/>
          <w:szCs w:val="20"/>
          <w:color w:val="auto"/>
        </w:rPr>
      </w:pPr>
      <w:r>
        <w:rPr>
          <w:rFonts w:ascii="Times New Roman" w:cs="Times New Roman" w:eastAsia="Times New Roman" w:hAnsi="Times New Roman"/>
          <w:sz w:val="20"/>
          <w:szCs w:val="20"/>
          <w:color w:val="auto"/>
        </w:rPr>
        <w:t>The Plan is administered by the Pension and Investment Committee (the “Plan Administrator”), which is appointed by the Board of Directors of the Company.</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Participant loans</w:t>
      </w:r>
    </w:p>
    <w:p>
      <w:pPr>
        <w:spacing w:after="0" w:line="260" w:lineRule="exact"/>
        <w:rPr>
          <w:sz w:val="20"/>
          <w:szCs w:val="20"/>
          <w:color w:val="auto"/>
        </w:rPr>
      </w:pPr>
    </w:p>
    <w:p>
      <w:pPr>
        <w:jc w:val="both"/>
        <w:ind w:firstLine="405"/>
        <w:spacing w:after="0" w:line="269" w:lineRule="auto"/>
        <w:rPr>
          <w:sz w:val="20"/>
          <w:szCs w:val="20"/>
          <w:color w:val="auto"/>
        </w:rPr>
      </w:pPr>
      <w:r>
        <w:rPr>
          <w:rFonts w:ascii="Times New Roman" w:cs="Times New Roman" w:eastAsia="Times New Roman" w:hAnsi="Times New Roman"/>
          <w:sz w:val="20"/>
          <w:szCs w:val="20"/>
          <w:color w:val="auto"/>
        </w:rPr>
        <w:t>Subject to certain limitations set forth in the Plan document, participants may borrow from their vested account balances using their account balance as collateral. Participants may borrow an aggregate maximum of the lesser of:</w:t>
      </w:r>
    </w:p>
    <w:p>
      <w:pPr>
        <w:spacing w:after="0" w:line="308" w:lineRule="exact"/>
        <w:rPr>
          <w:sz w:val="20"/>
          <w:szCs w:val="20"/>
          <w:color w:val="auto"/>
        </w:rPr>
      </w:pPr>
    </w:p>
    <w:p>
      <w:pPr>
        <w:ind w:left="640" w:hanging="146"/>
        <w:spacing w:after="0"/>
        <w:tabs>
          <w:tab w:leader="none" w:pos="6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$50,000, subject to certain adjustments as set forth in the Plan document, or</w:t>
      </w:r>
    </w:p>
    <w:p>
      <w:pPr>
        <w:spacing w:after="0" w:line="107" w:lineRule="exact"/>
        <w:rPr>
          <w:rFonts w:ascii="Times New Roman" w:cs="Times New Roman" w:eastAsia="Times New Roman" w:hAnsi="Times New Roman"/>
          <w:sz w:val="20"/>
          <w:szCs w:val="20"/>
          <w:color w:val="auto"/>
        </w:rPr>
      </w:pPr>
    </w:p>
    <w:p>
      <w:pPr>
        <w:ind w:left="640" w:hanging="146"/>
        <w:spacing w:after="0"/>
        <w:tabs>
          <w:tab w:leader="none" w:pos="6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One-half of the participant's vested account balance at the time the loan is made.</w:t>
      </w:r>
    </w:p>
    <w:p>
      <w:pPr>
        <w:spacing w:after="0" w:line="256" w:lineRule="exact"/>
        <w:rPr>
          <w:sz w:val="20"/>
          <w:szCs w:val="20"/>
          <w:color w:val="auto"/>
        </w:rPr>
      </w:pPr>
    </w:p>
    <w:p>
      <w:pPr>
        <w:jc w:val="both"/>
        <w:ind w:firstLine="405"/>
        <w:spacing w:after="0" w:line="281" w:lineRule="auto"/>
        <w:rPr>
          <w:sz w:val="20"/>
          <w:szCs w:val="20"/>
          <w:color w:val="auto"/>
        </w:rPr>
      </w:pPr>
      <w:r>
        <w:rPr>
          <w:rFonts w:ascii="Times New Roman" w:cs="Times New Roman" w:eastAsia="Times New Roman" w:hAnsi="Times New Roman"/>
          <w:sz w:val="19"/>
          <w:szCs w:val="19"/>
          <w:color w:val="auto"/>
        </w:rPr>
        <w:t>General-purpose loans have a maximum term of five years, while primary residence loans have a maximum term of 15 years. Loan repayments are generally made via bi-weekly payroll deductions. Loans bear interest at rates that become fixed at loan inception, based on prevailing interest rates at loan inception. Loans outstanding at December 31, 2021 and 2020 had interest rates ranging from 4.25% to 9.25%.</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Plan termination</w:t>
      </w:r>
    </w:p>
    <w:p>
      <w:pPr>
        <w:spacing w:after="0" w:line="247" w:lineRule="exact"/>
        <w:rPr>
          <w:sz w:val="20"/>
          <w:szCs w:val="20"/>
          <w:color w:val="auto"/>
        </w:rPr>
      </w:pPr>
    </w:p>
    <w:p>
      <w:pPr>
        <w:jc w:val="both"/>
        <w:ind w:firstLine="405"/>
        <w:spacing w:after="0" w:line="268" w:lineRule="auto"/>
        <w:rPr>
          <w:sz w:val="20"/>
          <w:szCs w:val="20"/>
          <w:color w:val="auto"/>
        </w:rPr>
      </w:pPr>
      <w:r>
        <w:rPr>
          <w:rFonts w:ascii="Times New Roman" w:cs="Times New Roman" w:eastAsia="Times New Roman" w:hAnsi="Times New Roman"/>
          <w:sz w:val="20"/>
          <w:szCs w:val="20"/>
          <w:color w:val="auto"/>
        </w:rPr>
        <w:t>Although it has not expressed any intent to do so, the Company may terminate the Plan at any time in accordance with ERISA requirements. In the event of termination of the Plan, distribution would be made to participants in the amounts of their respective account balances. In the event of Plan termination, all components of a participant's balance become 100% vested.</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240"/>
          </w:cols>
          <w:pgMar w:left="320" w:top="111"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25400</wp:posOffset>
            </wp:positionV>
            <wp:extent cx="709803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5740" w:firstLine="8"/>
        <w:spacing w:after="0" w:line="502" w:lineRule="auto"/>
        <w:tabs>
          <w:tab w:leader="none" w:pos="324" w:val="left"/>
        </w:tabs>
        <w:numPr>
          <w:ilvl w:val="0"/>
          <w:numId w:val="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SUMMARY OF SIGNIFICANT ACCOUNTING POLICIES Basis of accounting</w:t>
      </w:r>
    </w:p>
    <w:p>
      <w:pPr>
        <w:jc w:val="both"/>
        <w:ind w:firstLine="405"/>
        <w:spacing w:after="0" w:line="283" w:lineRule="auto"/>
        <w:rPr>
          <w:sz w:val="20"/>
          <w:szCs w:val="20"/>
          <w:color w:val="auto"/>
        </w:rPr>
      </w:pPr>
      <w:r>
        <w:rPr>
          <w:rFonts w:ascii="Times New Roman" w:cs="Times New Roman" w:eastAsia="Times New Roman" w:hAnsi="Times New Roman"/>
          <w:sz w:val="20"/>
          <w:szCs w:val="20"/>
          <w:color w:val="auto"/>
        </w:rPr>
        <w:t>The accompanying financial statements have been prepared on the accrual basis of accounting in accordance with accounting principles generally accepted in the U.S. (“U.S. GAAP”).</w:t>
      </w:r>
    </w:p>
    <w:p>
      <w:pPr>
        <w:spacing w:after="0" w:line="16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Investment valuation and income recognition</w:t>
      </w:r>
    </w:p>
    <w:p>
      <w:pPr>
        <w:spacing w:after="0" w:line="260" w:lineRule="exact"/>
        <w:rPr>
          <w:sz w:val="20"/>
          <w:szCs w:val="20"/>
          <w:color w:val="auto"/>
        </w:rPr>
      </w:pPr>
    </w:p>
    <w:p>
      <w:pPr>
        <w:jc w:val="both"/>
        <w:ind w:firstLine="405"/>
        <w:spacing w:after="0" w:line="253" w:lineRule="auto"/>
        <w:rPr>
          <w:sz w:val="20"/>
          <w:szCs w:val="20"/>
          <w:color w:val="auto"/>
        </w:rPr>
      </w:pPr>
      <w:r>
        <w:rPr>
          <w:rFonts w:ascii="Times New Roman" w:cs="Times New Roman" w:eastAsia="Times New Roman" w:hAnsi="Times New Roman"/>
          <w:sz w:val="20"/>
          <w:szCs w:val="20"/>
          <w:color w:val="auto"/>
        </w:rPr>
        <w:t>The Plan's investments in shares of registered investment companies are stated at fair value based on quoted market prices. The Plan's investments in common and collective trusts are valued based on the net asset value ("NAV"), or equivalent, as a practical expedient for fair value. The NAV is based on the value of the underlying assets owned by the fund, minus its liabilities, and then divided by the number of shares outstanding. The Plan's investments in Flowserve Corporation common stock are stated at fair value as quoted on a recognized securities exchange and are valued at the last reported sales price on the last business day of the year.</w:t>
      </w:r>
    </w:p>
    <w:p>
      <w:pPr>
        <w:spacing w:after="0" w:line="219"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20"/>
          <w:szCs w:val="20"/>
          <w:color w:val="auto"/>
        </w:rPr>
        <w:t>The Plan accounts for its investments in accordance with Financial Accounting Standards Board Accounting Standards Codification (“ASC”) 962, “Plan Accounting - Defined Contribution Pension Plans.” As required by ASC 962, the accompanying statements of net assets available for benefits present the fair value of the Plan's investments.</w:t>
      </w:r>
    </w:p>
    <w:p>
      <w:pPr>
        <w:spacing w:after="0" w:line="208" w:lineRule="exact"/>
        <w:rPr>
          <w:sz w:val="20"/>
          <w:szCs w:val="20"/>
          <w:color w:val="auto"/>
        </w:rPr>
      </w:pPr>
    </w:p>
    <w:p>
      <w:pPr>
        <w:jc w:val="both"/>
        <w:ind w:firstLine="405"/>
        <w:spacing w:after="0" w:line="269" w:lineRule="auto"/>
        <w:rPr>
          <w:sz w:val="20"/>
          <w:szCs w:val="20"/>
          <w:color w:val="auto"/>
        </w:rPr>
      </w:pPr>
      <w:r>
        <w:rPr>
          <w:rFonts w:ascii="Times New Roman" w:cs="Times New Roman" w:eastAsia="Times New Roman" w:hAnsi="Times New Roman"/>
          <w:sz w:val="20"/>
          <w:szCs w:val="20"/>
          <w:color w:val="auto"/>
        </w:rPr>
        <w:t>Purchases and sales of investments are recorded on a trade-date basis. Interest income is accrued when earned. Dividend income is recorded on the ex-dividend date.</w:t>
      </w:r>
    </w:p>
    <w:p>
      <w:pPr>
        <w:spacing w:after="0" w:line="200"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20"/>
          <w:szCs w:val="20"/>
          <w:color w:val="auto"/>
        </w:rPr>
        <w:t>The Plan's investments are exposed to various risks, such as interest rate, market and credit risks. Due to the level of risk associated with the Plan's investments, it is at least reasonably possible that changes in the values of such investments could occur in the near term and that such changes could materially affect participant account balances and the amounts reported in the accompanying financial statements.</w:t>
      </w:r>
    </w:p>
    <w:p>
      <w:pPr>
        <w:spacing w:after="0" w:line="20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Determination of unrealized appreciation (depreciation)</w:t>
      </w:r>
    </w:p>
    <w:p>
      <w:pPr>
        <w:spacing w:after="0" w:line="247" w:lineRule="exact"/>
        <w:rPr>
          <w:sz w:val="20"/>
          <w:szCs w:val="20"/>
          <w:color w:val="auto"/>
        </w:rPr>
      </w:pPr>
    </w:p>
    <w:p>
      <w:pPr>
        <w:jc w:val="both"/>
        <w:ind w:firstLine="405"/>
        <w:spacing w:after="0" w:line="268" w:lineRule="auto"/>
        <w:rPr>
          <w:sz w:val="20"/>
          <w:szCs w:val="20"/>
          <w:color w:val="auto"/>
        </w:rPr>
      </w:pPr>
      <w:r>
        <w:rPr>
          <w:rFonts w:ascii="Times New Roman" w:cs="Times New Roman" w:eastAsia="Times New Roman" w:hAnsi="Times New Roman"/>
          <w:sz w:val="20"/>
          <w:szCs w:val="20"/>
          <w:color w:val="auto"/>
        </w:rPr>
        <w:t>The Plan presents in the statement of changes in net assets available for benefits the net appreciation (depreciation) in the fair value of its investments, which consists of realized gains or losses on investments sold during the year and the unrealized appreciation (depreciation) on those investments held at the end of the year.</w:t>
      </w:r>
    </w:p>
    <w:p>
      <w:pPr>
        <w:spacing w:after="0" w:line="18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Contributions</w:t>
      </w:r>
    </w:p>
    <w:p>
      <w:pPr>
        <w:spacing w:after="0" w:line="260" w:lineRule="exact"/>
        <w:rPr>
          <w:sz w:val="20"/>
          <w:szCs w:val="20"/>
          <w:color w:val="auto"/>
        </w:rPr>
      </w:pPr>
    </w:p>
    <w:p>
      <w:pPr>
        <w:jc w:val="both"/>
        <w:ind w:right="20" w:firstLine="405"/>
        <w:spacing w:after="0" w:line="269" w:lineRule="auto"/>
        <w:rPr>
          <w:sz w:val="20"/>
          <w:szCs w:val="20"/>
          <w:color w:val="auto"/>
        </w:rPr>
      </w:pPr>
      <w:r>
        <w:rPr>
          <w:rFonts w:ascii="Times New Roman" w:cs="Times New Roman" w:eastAsia="Times New Roman" w:hAnsi="Times New Roman"/>
          <w:sz w:val="20"/>
          <w:szCs w:val="20"/>
          <w:color w:val="auto"/>
        </w:rPr>
        <w:t>Contributions from the Company and participants are accrued as they become obligations of the Company, as determined by the Plan’s administrator, and in the period in which they are deducted, in accordance with salary deferral agreements.</w:t>
      </w:r>
    </w:p>
    <w:p>
      <w:pPr>
        <w:spacing w:after="0" w:line="19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Notes receivable from participants</w:t>
      </w:r>
    </w:p>
    <w:p>
      <w:pPr>
        <w:spacing w:after="0" w:line="260" w:lineRule="exact"/>
        <w:rPr>
          <w:sz w:val="20"/>
          <w:szCs w:val="20"/>
          <w:color w:val="auto"/>
        </w:rPr>
      </w:pPr>
    </w:p>
    <w:p>
      <w:pPr>
        <w:jc w:val="both"/>
        <w:ind w:firstLine="405"/>
        <w:spacing w:after="0" w:line="269" w:lineRule="auto"/>
        <w:rPr>
          <w:sz w:val="20"/>
          <w:szCs w:val="20"/>
          <w:color w:val="auto"/>
        </w:rPr>
      </w:pPr>
      <w:r>
        <w:rPr>
          <w:rFonts w:ascii="Times New Roman" w:cs="Times New Roman" w:eastAsia="Times New Roman" w:hAnsi="Times New Roman"/>
          <w:sz w:val="20"/>
          <w:szCs w:val="20"/>
          <w:color w:val="auto"/>
        </w:rPr>
        <w:t>Participant loans are valued at the unpaid principal balance plus any accrued but unpaid interest. Interest income is recorded when earned.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240"/>
          </w:cols>
          <w:pgMar w:left="320" w:top="111"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25400</wp:posOffset>
            </wp:positionV>
            <wp:extent cx="709803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Use of estimates</w:t>
      </w:r>
    </w:p>
    <w:p>
      <w:pPr>
        <w:spacing w:after="0" w:line="260"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20"/>
          <w:szCs w:val="20"/>
          <w:color w:val="auto"/>
        </w:rPr>
        <w:t>The preparation of financial statements in conformity with U.S. GAAP requires management to make estimates and assumptions that affect certain reported amounts of net assets available for benefits and disclosure of contingent assets and liabilities at the date of the financial statements and reported amounts of changes in net assets available for benefits during the reporting period. Actual results may differ from these estimates.</w:t>
      </w:r>
    </w:p>
    <w:p>
      <w:pPr>
        <w:spacing w:after="0" w:line="21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Benefits</w:t>
      </w:r>
    </w:p>
    <w:p>
      <w:pPr>
        <w:spacing w:after="0" w:line="26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0"/>
          <w:szCs w:val="20"/>
          <w:color w:val="auto"/>
        </w:rPr>
        <w:t>Benefits are recorded when paid.</w:t>
      </w:r>
    </w:p>
    <w:p>
      <w:pPr>
        <w:spacing w:after="0" w:line="23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CARES Act</w:t>
      </w:r>
    </w:p>
    <w:p>
      <w:pPr>
        <w:spacing w:after="0" w:line="260"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20"/>
          <w:szCs w:val="20"/>
          <w:color w:val="auto"/>
        </w:rPr>
        <w:t>On March 27, 2020, President Trump signed into law the “Coronavirus Aid, Relief, and Economic Security Act” (“CARES Act”). The CARES Act, among other things, includes several relief provisions available to tax-qualified retirement plans and their participants. Plan management evaluated the relief provisions available to plan participants under the CARES Act and implemented the following provisions as a way of providing additional access to retirement funds should a financial need arise due to the pandemic:</w:t>
      </w:r>
    </w:p>
    <w:p>
      <w:pPr>
        <w:spacing w:after="0" w:line="64" w:lineRule="exact"/>
        <w:rPr>
          <w:sz w:val="20"/>
          <w:szCs w:val="20"/>
          <w:color w:val="auto"/>
        </w:rPr>
      </w:pPr>
    </w:p>
    <w:p>
      <w:pPr>
        <w:ind w:left="720" w:hanging="429"/>
        <w:spacing w:after="0"/>
        <w:tabs>
          <w:tab w:leader="none" w:pos="720" w:val="left"/>
        </w:tabs>
        <w:numPr>
          <w:ilvl w:val="0"/>
          <w:numId w:val="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Special coronavirus distributions up to $100,000 without penalty; and</w:t>
      </w:r>
    </w:p>
    <w:p>
      <w:pPr>
        <w:spacing w:after="0" w:line="121" w:lineRule="exact"/>
        <w:rPr>
          <w:rFonts w:ascii="Times New Roman" w:cs="Times New Roman" w:eastAsia="Times New Roman" w:hAnsi="Times New Roman"/>
          <w:sz w:val="20"/>
          <w:szCs w:val="20"/>
          <w:b w:val="1"/>
          <w:bCs w:val="1"/>
          <w:color w:val="auto"/>
        </w:rPr>
      </w:pPr>
    </w:p>
    <w:p>
      <w:pPr>
        <w:ind w:left="720" w:hanging="429"/>
        <w:spacing w:after="0"/>
        <w:tabs>
          <w:tab w:leader="none" w:pos="72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Extend the period for loan repayments, if applicable.</w:t>
      </w:r>
    </w:p>
    <w:p>
      <w:pPr>
        <w:spacing w:after="0" w:line="108" w:lineRule="exact"/>
        <w:rPr>
          <w:sz w:val="20"/>
          <w:szCs w:val="20"/>
          <w:color w:val="auto"/>
        </w:rPr>
      </w:pPr>
    </w:p>
    <w:p>
      <w:pPr>
        <w:ind w:left="80" w:right="20" w:firstLine="324"/>
        <w:spacing w:after="0" w:line="283" w:lineRule="auto"/>
        <w:rPr>
          <w:sz w:val="20"/>
          <w:szCs w:val="20"/>
          <w:color w:val="auto"/>
        </w:rPr>
      </w:pPr>
      <w:r>
        <w:rPr>
          <w:rFonts w:ascii="Times New Roman" w:cs="Times New Roman" w:eastAsia="Times New Roman" w:hAnsi="Times New Roman"/>
          <w:sz w:val="20"/>
          <w:szCs w:val="20"/>
          <w:color w:val="auto"/>
        </w:rPr>
        <w:t>The ability to utilize the provisions of the CARES Act ceased as of December 31, 2020, although special coronavirus distribution repayment rules remain in effect.</w:t>
      </w:r>
    </w:p>
    <w:p>
      <w:pPr>
        <w:spacing w:after="0" w:line="18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0"/>
          <w:szCs w:val="20"/>
          <w:b w:val="1"/>
          <w:bCs w:val="1"/>
          <w:color w:val="auto"/>
        </w:rPr>
        <w:t>Accounting developments</w:t>
      </w:r>
    </w:p>
    <w:p>
      <w:pPr>
        <w:spacing w:after="0" w:line="24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b w:val="1"/>
          <w:bCs w:val="1"/>
          <w:i w:val="1"/>
          <w:iCs w:val="1"/>
          <w:color w:val="auto"/>
        </w:rPr>
        <w:t>Pronouncements Implemented</w:t>
      </w:r>
    </w:p>
    <w:p>
      <w:pPr>
        <w:spacing w:after="0" w:line="25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0"/>
          <w:szCs w:val="20"/>
          <w:color w:val="auto"/>
        </w:rPr>
        <w:t>None</w:t>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Pronouncements Not Yet Implemented</w:t>
      </w:r>
    </w:p>
    <w:p>
      <w:pPr>
        <w:spacing w:after="0" w:line="25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0"/>
          <w:szCs w:val="20"/>
          <w:color w:val="auto"/>
        </w:rPr>
        <w:t>None</w:t>
      </w:r>
    </w:p>
    <w:p>
      <w:pPr>
        <w:spacing w:after="0" w:line="200" w:lineRule="exact"/>
        <w:rPr>
          <w:sz w:val="20"/>
          <w:szCs w:val="20"/>
          <w:color w:val="auto"/>
        </w:rPr>
      </w:pPr>
    </w:p>
    <w:p>
      <w:pPr>
        <w:spacing w:after="0" w:line="255"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20"/>
          <w:szCs w:val="20"/>
          <w:b w:val="1"/>
          <w:bCs w:val="1"/>
          <w:color w:val="auto"/>
        </w:rPr>
        <w:t>3.</w:t>
      </w:r>
      <w:r>
        <w:rPr>
          <w:sz w:val="20"/>
          <w:szCs w:val="20"/>
          <w:color w:val="auto"/>
        </w:rPr>
        <w:tab/>
      </w:r>
      <w:r>
        <w:rPr>
          <w:rFonts w:ascii="Times New Roman" w:cs="Times New Roman" w:eastAsia="Times New Roman" w:hAnsi="Times New Roman"/>
          <w:sz w:val="19"/>
          <w:szCs w:val="19"/>
          <w:b w:val="1"/>
          <w:bCs w:val="1"/>
          <w:color w:val="auto"/>
        </w:rPr>
        <w:t>COMMON AND COLLECTIVE TRUST FUNDS</w:t>
      </w:r>
    </w:p>
    <w:p>
      <w:pPr>
        <w:spacing w:after="0" w:line="26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20"/>
          <w:szCs w:val="20"/>
          <w:color w:val="auto"/>
        </w:rPr>
        <w:t>The Plan's investments in common and collective trusts include the T. Rowe Price Retirement Dated Trusts Series ("Dated Trusts"), Wellington CIF Small Cap Opp. Portfolio ("Wellington Trust") and T. Rowe Price Stable Value Common Trust Fund ("Value Trust"), which hold fully benefit-responsive investment contracts. The Plan uses NAV (or equivalent) as a practical expedient to determine the fair value of the common and collective trust funds.</w:t>
      </w:r>
    </w:p>
    <w:p>
      <w:pPr>
        <w:spacing w:after="0" w:line="172"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20"/>
          <w:szCs w:val="20"/>
          <w:color w:val="auto"/>
        </w:rPr>
        <w:t>The objective of the Dated Trusts is to provide the highest total return over time through both capital growth and income consistent with an emphasis on capital growth based on the participant's anticipated retirement age. The NAV for the Dated Trusts is based on the fair value of the underlying investments held by the fund less their liabilities. The beneficial interest of each participant is represented by units. Redemption for the Dated Trusts is permitted daily with no other restrictions and there are no unfunded commitments.</w:t>
      </w:r>
    </w:p>
    <w:p>
      <w:pPr>
        <w:sectPr>
          <w:pgSz w:w="11900" w:h="16838" w:orient="portrait"/>
          <w:cols w:equalWidth="0" w:num="1">
            <w:col w:w="11240"/>
          </w:cols>
          <w:pgMar w:left="320" w:top="1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7</w:t>
      </w:r>
    </w:p>
    <w:p>
      <w:pPr>
        <w:sectPr>
          <w:pgSz w:w="11900" w:h="16838" w:orient="portrait"/>
          <w:cols w:equalWidth="0" w:num="1">
            <w:col w:w="11240"/>
          </w:cols>
          <w:pgMar w:left="320" w:top="111" w:right="339" w:bottom="1440" w:gutter="0" w:footer="0" w:header="0"/>
          <w:type w:val="continuous"/>
        </w:sectPr>
      </w:pPr>
    </w:p>
    <w:bookmarkStart w:id="14" w:name="page15"/>
    <w:bookmarkEnd w:id="14"/>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25400</wp:posOffset>
            </wp:positionV>
            <wp:extent cx="709803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0"/>
          <w:szCs w:val="20"/>
          <w:color w:val="auto"/>
        </w:rPr>
        <w:t>The objective of the Wellington Trust is to provide long-term total return in excess of Russell 2000 index. The NAV for the Wellington Trust is based on the fair value of the underlying investments held by the fund less their liabilities. The beneficial interest of each participant is represented by units. Redemption for the Wellington Trust is permitted daily and there are no notice periods or unfunded commitments.</w:t>
      </w:r>
    </w:p>
    <w:p>
      <w:pPr>
        <w:spacing w:after="0" w:line="172" w:lineRule="exact"/>
        <w:rPr>
          <w:sz w:val="20"/>
          <w:szCs w:val="20"/>
          <w:color w:val="auto"/>
        </w:rPr>
      </w:pPr>
    </w:p>
    <w:p>
      <w:pPr>
        <w:jc w:val="both"/>
        <w:ind w:firstLine="405"/>
        <w:spacing w:after="0" w:line="274" w:lineRule="auto"/>
        <w:rPr>
          <w:sz w:val="20"/>
          <w:szCs w:val="20"/>
          <w:color w:val="auto"/>
        </w:rPr>
      </w:pPr>
      <w:r>
        <w:rPr>
          <w:rFonts w:ascii="Times New Roman" w:cs="Times New Roman" w:eastAsia="Times New Roman" w:hAnsi="Times New Roman"/>
          <w:sz w:val="19"/>
          <w:szCs w:val="19"/>
          <w:color w:val="auto"/>
        </w:rPr>
        <w:t>The objective of the Value Trust is to maximize current income and maintain principal stability by investing primarily in a diversified portfolio of guaranteed investment contracts, bank investment contracts and separate account contracts. The beneficial interest of each participant is represented by units. Units are issued and redeemed daily at the Value Trust’s constant NAV of $1 per unit. Distribution to the Value Trust unit holders is declared daily from the net investment income and automatically reinvested in the fund on a monthly basis, when paid. It is the policy of the fund to use its best efforts to maintain a stable value of $1 per unit and there are no unfunded commitments.</w:t>
      </w:r>
    </w:p>
    <w:p>
      <w:pPr>
        <w:spacing w:after="0" w:line="184" w:lineRule="exact"/>
        <w:rPr>
          <w:sz w:val="20"/>
          <w:szCs w:val="20"/>
          <w:color w:val="auto"/>
        </w:rPr>
      </w:pPr>
    </w:p>
    <w:p>
      <w:pPr>
        <w:jc w:val="both"/>
        <w:ind w:firstLine="405"/>
        <w:spacing w:after="0" w:line="268" w:lineRule="auto"/>
        <w:rPr>
          <w:sz w:val="20"/>
          <w:szCs w:val="20"/>
          <w:color w:val="auto"/>
        </w:rPr>
      </w:pPr>
      <w:r>
        <w:rPr>
          <w:rFonts w:ascii="Times New Roman" w:cs="Times New Roman" w:eastAsia="Times New Roman" w:hAnsi="Times New Roman"/>
          <w:sz w:val="20"/>
          <w:szCs w:val="20"/>
          <w:color w:val="auto"/>
        </w:rPr>
        <w:t>Under the terms of the fund’s declaration of trust for both the Dated Trusts and the Value Trust, the Plan would be required to provide an advance written notice prior to redeeming the trust units of 90-days and 12 to 30 months, respectively. The notice period for both the Dated Trusts and the Value Trust funds may be shortened or waived by the trustee's discretion.</w:t>
      </w:r>
    </w:p>
    <w:p>
      <w:pPr>
        <w:spacing w:after="0" w:line="400"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20"/>
          <w:szCs w:val="20"/>
          <w:b w:val="1"/>
          <w:bCs w:val="1"/>
          <w:color w:val="auto"/>
        </w:rPr>
        <w:t>4.</w:t>
      </w:r>
      <w:r>
        <w:rPr>
          <w:sz w:val="20"/>
          <w:szCs w:val="20"/>
          <w:color w:val="auto"/>
        </w:rPr>
        <w:tab/>
      </w:r>
      <w:r>
        <w:rPr>
          <w:rFonts w:ascii="Times New Roman" w:cs="Times New Roman" w:eastAsia="Times New Roman" w:hAnsi="Times New Roman"/>
          <w:sz w:val="19"/>
          <w:szCs w:val="19"/>
          <w:b w:val="1"/>
          <w:bCs w:val="1"/>
          <w:color w:val="auto"/>
        </w:rPr>
        <w:t>RELATED PARTIES AND PARTY-IN-INTEREST TRANSACTIONS</w:t>
      </w:r>
    </w:p>
    <w:p>
      <w:pPr>
        <w:spacing w:after="0" w:line="260"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20"/>
          <w:szCs w:val="20"/>
          <w:color w:val="auto"/>
        </w:rPr>
        <w:t>Party-in-interest transactions include those with fiduciaries or employees of the Plan, any person who provides services to the Plan, an employer whose employees are covered by the Plan, an employee organization whose members are covered by the Plan, a person who owns 50% or more of such an employer or employee organization, or relatives of such aforementioned persons.</w:t>
      </w:r>
    </w:p>
    <w:p>
      <w:pPr>
        <w:spacing w:after="0" w:line="208"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20"/>
          <w:szCs w:val="20"/>
          <w:color w:val="auto"/>
        </w:rPr>
        <w:t>Certain investments are shares of funds managed by affiliates of T. Rowe Price Trust Company which is the trustee as defined by the Plan and, therefore, transactions with these registered investment companies and common and collective trusts qualify as party-in-interest transactions, which are exempt from the prohibited transaction rules.</w:t>
      </w:r>
    </w:p>
    <w:p>
      <w:pPr>
        <w:spacing w:after="0" w:line="195" w:lineRule="exact"/>
        <w:rPr>
          <w:sz w:val="20"/>
          <w:szCs w:val="20"/>
          <w:color w:val="auto"/>
        </w:rPr>
      </w:pPr>
    </w:p>
    <w:p>
      <w:pPr>
        <w:jc w:val="both"/>
        <w:ind w:firstLine="405"/>
        <w:spacing w:after="0" w:line="257" w:lineRule="auto"/>
        <w:rPr>
          <w:sz w:val="20"/>
          <w:szCs w:val="20"/>
          <w:color w:val="auto"/>
        </w:rPr>
      </w:pPr>
      <w:r>
        <w:rPr>
          <w:rFonts w:ascii="Times New Roman" w:cs="Times New Roman" w:eastAsia="Times New Roman" w:hAnsi="Times New Roman"/>
          <w:sz w:val="20"/>
          <w:szCs w:val="20"/>
          <w:color w:val="auto"/>
        </w:rPr>
        <w:t>Additionally, the Plan holds investments in the Company's common stock and notes receivable from participants. Transactions in the Company's common stock qualify as both party-in-interest and related-party transactions, and transactions in the Plan's notes receivable from participants qualify as party-in-interest transactions. Transactions in both the Company's common stock and the Plan's notes receivable from participants are exempt from the prohibited transaction rules. The Plan paid certain expenses related to plan operations and investment activities to various service providers. These transactions are also party-in-interest transactions under ERISA.</w:t>
      </w:r>
    </w:p>
    <w:p>
      <w:pPr>
        <w:spacing w:after="0" w:line="200" w:lineRule="exact"/>
        <w:rPr>
          <w:sz w:val="20"/>
          <w:szCs w:val="20"/>
          <w:color w:val="auto"/>
        </w:rPr>
      </w:pPr>
    </w:p>
    <w:p>
      <w:pPr>
        <w:spacing w:after="0" w:line="212"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20"/>
          <w:szCs w:val="20"/>
          <w:b w:val="1"/>
          <w:bCs w:val="1"/>
          <w:color w:val="auto"/>
        </w:rPr>
        <w:t>5.</w:t>
      </w:r>
      <w:r>
        <w:rPr>
          <w:sz w:val="20"/>
          <w:szCs w:val="20"/>
          <w:color w:val="auto"/>
        </w:rPr>
        <w:tab/>
      </w:r>
      <w:r>
        <w:rPr>
          <w:rFonts w:ascii="Times New Roman" w:cs="Times New Roman" w:eastAsia="Times New Roman" w:hAnsi="Times New Roman"/>
          <w:sz w:val="19"/>
          <w:szCs w:val="19"/>
          <w:b w:val="1"/>
          <w:bCs w:val="1"/>
          <w:color w:val="auto"/>
        </w:rPr>
        <w:t>INCOME TAX STATUS</w:t>
      </w:r>
    </w:p>
    <w:p>
      <w:pPr>
        <w:spacing w:after="0" w:line="260"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20"/>
          <w:szCs w:val="20"/>
          <w:color w:val="auto"/>
        </w:rPr>
        <w:t>The Plan has received a determination letter from the Internal Revenue Service dated December 22, 2016, stating that the Plan, as then designed and operated, qualified under Section 401(a) of the Code and, therefore, the related trust is exempt from taxation. The Plan has been amended since receiving the determination letter.</w:t>
      </w:r>
    </w:p>
    <w:p>
      <w:pPr>
        <w:spacing w:after="0" w:line="208" w:lineRule="exact"/>
        <w:rPr>
          <w:sz w:val="20"/>
          <w:szCs w:val="20"/>
          <w:color w:val="auto"/>
        </w:rPr>
      </w:pPr>
    </w:p>
    <w:p>
      <w:pPr>
        <w:ind w:firstLine="405"/>
        <w:spacing w:after="0" w:line="254" w:lineRule="auto"/>
        <w:rPr>
          <w:sz w:val="20"/>
          <w:szCs w:val="20"/>
          <w:color w:val="auto"/>
        </w:rPr>
      </w:pPr>
      <w:r>
        <w:rPr>
          <w:rFonts w:ascii="Times New Roman" w:cs="Times New Roman" w:eastAsia="Times New Roman" w:hAnsi="Times New Roman"/>
          <w:sz w:val="20"/>
          <w:szCs w:val="20"/>
          <w:color w:val="auto"/>
        </w:rPr>
        <w:t>The Plan Administrator believes the Plan has been operated in compliance with the applicable requirements of the Code throughout 2021 and 2020; therefore, the Plan and the related trust are exempt from taxation. The Plan is</w:t>
      </w:r>
    </w:p>
    <w:p>
      <w:pPr>
        <w:spacing w:after="0" w:line="1"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20"/>
          <w:szCs w:val="20"/>
          <w:color w:val="auto"/>
        </w:rPr>
        <w:t>subject to routine audits by taxing jurisdictions; however, there are currently no audits for any tax periods in progress. The Plan Administrator believes it is no longer subject to income tax examination for years prior to 2018.</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240"/>
          </w:cols>
          <w:pgMar w:left="320" w:top="111"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25400</wp:posOffset>
            </wp:positionV>
            <wp:extent cx="709803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20"/>
          <w:szCs w:val="20"/>
          <w:b w:val="1"/>
          <w:bCs w:val="1"/>
          <w:color w:val="auto"/>
        </w:rPr>
        <w:t>6.</w:t>
      </w:r>
      <w:r>
        <w:rPr>
          <w:sz w:val="20"/>
          <w:szCs w:val="20"/>
          <w:color w:val="auto"/>
        </w:rPr>
        <w:tab/>
      </w:r>
      <w:r>
        <w:rPr>
          <w:rFonts w:ascii="Times New Roman" w:cs="Times New Roman" w:eastAsia="Times New Roman" w:hAnsi="Times New Roman"/>
          <w:sz w:val="19"/>
          <w:szCs w:val="19"/>
          <w:b w:val="1"/>
          <w:bCs w:val="1"/>
          <w:color w:val="auto"/>
        </w:rPr>
        <w:t>FAIR VALUE OF INVESTMENTS</w:t>
      </w:r>
    </w:p>
    <w:p>
      <w:pPr>
        <w:spacing w:after="0" w:line="260" w:lineRule="exact"/>
        <w:rPr>
          <w:sz w:val="20"/>
          <w:szCs w:val="20"/>
          <w:color w:val="auto"/>
        </w:rPr>
      </w:pPr>
    </w:p>
    <w:p>
      <w:pPr>
        <w:jc w:val="both"/>
        <w:ind w:firstLine="405"/>
        <w:spacing w:after="0" w:line="253" w:lineRule="auto"/>
        <w:rPr>
          <w:sz w:val="20"/>
          <w:szCs w:val="20"/>
          <w:color w:val="auto"/>
        </w:rPr>
      </w:pPr>
      <w:r>
        <w:rPr>
          <w:rFonts w:ascii="Times New Roman" w:cs="Times New Roman" w:eastAsia="Times New Roman" w:hAnsi="Times New Roman"/>
          <w:sz w:val="20"/>
          <w:szCs w:val="20"/>
          <w:color w:val="auto"/>
        </w:rPr>
        <w:t>The Plan's investments, shown below, are presented at fair value. Fair value is defined as the price that would be received to sell an asset or paid to transfer a liability in an orderly transaction between market participants at the measurement date. Where available, fair value is based on observable market prices or parameters or derived from such prices or parameters. Where observable prices or inputs are not available, valuation models may be applied. For further discussions on how the fair values of the Plan's investments are calculated, see Note 3 to the financial statements included in this report.</w:t>
      </w:r>
    </w:p>
    <w:p>
      <w:pPr>
        <w:spacing w:after="0" w:line="219"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20"/>
          <w:szCs w:val="20"/>
          <w:color w:val="auto"/>
        </w:rPr>
        <w:t>Investments are recorded at fair value in the statements of net assets available for benefits and categorized based upon the level of judgment associated with the lowest level of significant inputs used to measure their fair values. Hierarchical levels, as defined by ASC 820, “Fair Value Measurements,” are directly related to the amount of subjectivity associated with the inputs to fair valuation of these assets, and are as follows:</w:t>
      </w:r>
    </w:p>
    <w:p>
      <w:pPr>
        <w:spacing w:after="0" w:line="214"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color w:val="auto"/>
        </w:rPr>
        <w:t>Level I - Inputs are unadjusted, quoted prices in active markets for identical assets at the measurement date.</w:t>
      </w:r>
    </w:p>
    <w:p>
      <w:pPr>
        <w:spacing w:after="0" w:line="256" w:lineRule="exact"/>
        <w:rPr>
          <w:sz w:val="20"/>
          <w:szCs w:val="20"/>
          <w:color w:val="auto"/>
        </w:rPr>
      </w:pPr>
    </w:p>
    <w:p>
      <w:pPr>
        <w:jc w:val="both"/>
        <w:ind w:left="500"/>
        <w:spacing w:after="0" w:line="261" w:lineRule="auto"/>
        <w:rPr>
          <w:sz w:val="20"/>
          <w:szCs w:val="20"/>
          <w:color w:val="auto"/>
        </w:rPr>
      </w:pPr>
      <w:r>
        <w:rPr>
          <w:rFonts w:ascii="Times New Roman" w:cs="Times New Roman" w:eastAsia="Times New Roman" w:hAnsi="Times New Roman"/>
          <w:sz w:val="20"/>
          <w:szCs w:val="20"/>
          <w:color w:val="auto"/>
        </w:rPr>
        <w:t>Level II - Inputs (other than quoted prices included in Level I) are either directly or indirectly observable for the asset through correlation with market data at the measurement date and for the duration of the instrument's anticipated life. As of December 31, 2021 and 2020 the Plan held no investments in Level II assets.</w:t>
      </w:r>
    </w:p>
    <w:p>
      <w:pPr>
        <w:spacing w:after="0" w:line="195" w:lineRule="exact"/>
        <w:rPr>
          <w:sz w:val="20"/>
          <w:szCs w:val="20"/>
          <w:color w:val="auto"/>
        </w:rPr>
      </w:pPr>
    </w:p>
    <w:p>
      <w:pPr>
        <w:jc w:val="both"/>
        <w:ind w:left="500"/>
        <w:spacing w:after="0" w:line="256" w:lineRule="auto"/>
        <w:rPr>
          <w:sz w:val="20"/>
          <w:szCs w:val="20"/>
          <w:color w:val="auto"/>
        </w:rPr>
      </w:pPr>
      <w:r>
        <w:rPr>
          <w:rFonts w:ascii="Times New Roman" w:cs="Times New Roman" w:eastAsia="Times New Roman" w:hAnsi="Times New Roman"/>
          <w:sz w:val="20"/>
          <w:szCs w:val="20"/>
          <w:color w:val="auto"/>
        </w:rPr>
        <w:t>Level III - Inputs reflect the best estimate of what market participants would use in pricing the asset at the measurement date. Consideration is given to the risk inherent in the valuation technique and the risk inherent in the inputs to the model. As of December 31, 2021 and 2020 the Plan held no investments in Level III assets.</w:t>
      </w:r>
    </w:p>
    <w:p>
      <w:pPr>
        <w:spacing w:after="0" w:line="2" w:lineRule="exact"/>
        <w:rPr>
          <w:sz w:val="20"/>
          <w:szCs w:val="20"/>
          <w:color w:val="auto"/>
        </w:rPr>
      </w:pPr>
    </w:p>
    <w:tbl>
      <w:tblPr>
        <w:tblLayout w:type="fixed"/>
        <w:tblInd w:w="420" w:type="dxa"/>
        <w:tblCellMar>
          <w:top w:w="0" w:type="dxa"/>
          <w:left w:w="0" w:type="dxa"/>
          <w:bottom w:w="0" w:type="dxa"/>
          <w:right w:w="0" w:type="dxa"/>
        </w:tblCellMar>
      </w:tblPr>
      <w:tr>
        <w:trPr>
          <w:trHeight w:val="258"/>
        </w:trPr>
        <w:tc>
          <w:tcPr>
            <w:tcW w:w="60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fair values of the Plan's investments were:</w:t>
            </w:r>
          </w:p>
        </w:tc>
        <w:tc>
          <w:tcPr>
            <w:tcW w:w="32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60" w:type="dxa"/>
            <w:vAlign w:val="bottom"/>
          </w:tcPr>
          <w:p>
            <w:pPr>
              <w:spacing w:after="0"/>
              <w:rPr>
                <w:sz w:val="22"/>
                <w:szCs w:val="22"/>
                <w:color w:val="auto"/>
              </w:rPr>
            </w:pPr>
          </w:p>
        </w:tc>
      </w:tr>
      <w:tr>
        <w:trPr>
          <w:trHeight w:val="346"/>
        </w:trPr>
        <w:tc>
          <w:tcPr>
            <w:tcW w:w="166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gridSpan w:val="4"/>
          </w:tcPr>
          <w:p>
            <w:pPr>
              <w:jc w:val="right"/>
              <w:ind w:right="881"/>
              <w:spacing w:after="0"/>
              <w:rPr>
                <w:sz w:val="20"/>
                <w:szCs w:val="20"/>
                <w:color w:val="auto"/>
              </w:rPr>
            </w:pPr>
            <w:r>
              <w:rPr>
                <w:rFonts w:ascii="Times New Roman" w:cs="Times New Roman" w:eastAsia="Times New Roman" w:hAnsi="Times New Roman"/>
                <w:sz w:val="20"/>
                <w:szCs w:val="20"/>
                <w:b w:val="1"/>
                <w:bCs w:val="1"/>
                <w:color w:val="auto"/>
              </w:rPr>
              <w:t>December 31, 2021</w:t>
            </w:r>
          </w:p>
        </w:tc>
      </w:tr>
      <w:tr>
        <w:trPr>
          <w:trHeight w:val="254"/>
        </w:trPr>
        <w:tc>
          <w:tcPr>
            <w:tcW w:w="1660" w:type="dxa"/>
            <w:vAlign w:val="bottom"/>
          </w:tcPr>
          <w:p>
            <w:pPr>
              <w:spacing w:after="0"/>
              <w:rPr>
                <w:sz w:val="22"/>
                <w:szCs w:val="22"/>
                <w:color w:val="auto"/>
              </w:rPr>
            </w:pPr>
          </w:p>
        </w:tc>
        <w:tc>
          <w:tcPr>
            <w:tcW w:w="43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0" w:type="dxa"/>
            <w:vAlign w:val="bottom"/>
            <w:gridSpan w:val="2"/>
          </w:tcPr>
          <w:p>
            <w:pPr>
              <w:ind w:left="200"/>
              <w:spacing w:after="0"/>
              <w:rPr>
                <w:sz w:val="20"/>
                <w:szCs w:val="20"/>
                <w:color w:val="auto"/>
              </w:rPr>
            </w:pPr>
            <w:r>
              <w:rPr>
                <w:rFonts w:ascii="Times New Roman" w:cs="Times New Roman" w:eastAsia="Times New Roman" w:hAnsi="Times New Roman"/>
                <w:sz w:val="20"/>
                <w:szCs w:val="20"/>
                <w:b w:val="1"/>
                <w:bCs w:val="1"/>
                <w:color w:val="auto"/>
              </w:rPr>
              <w:t>Level I</w:t>
            </w:r>
          </w:p>
        </w:tc>
        <w:tc>
          <w:tcPr>
            <w:tcW w:w="360" w:type="dxa"/>
            <w:vAlign w:val="bottom"/>
          </w:tcPr>
          <w:p>
            <w:pPr>
              <w:spacing w:after="0"/>
              <w:rPr>
                <w:sz w:val="22"/>
                <w:szCs w:val="22"/>
                <w:color w:val="auto"/>
              </w:rPr>
            </w:pPr>
          </w:p>
        </w:tc>
        <w:tc>
          <w:tcPr>
            <w:tcW w:w="1460" w:type="dxa"/>
            <w:vAlign w:val="bottom"/>
          </w:tcPr>
          <w:p>
            <w:pPr>
              <w:jc w:val="right"/>
              <w:ind w:right="601"/>
              <w:spacing w:after="0"/>
              <w:rPr>
                <w:sz w:val="20"/>
                <w:szCs w:val="20"/>
                <w:color w:val="auto"/>
              </w:rPr>
            </w:pPr>
            <w:r>
              <w:rPr>
                <w:rFonts w:ascii="Times New Roman" w:cs="Times New Roman" w:eastAsia="Times New Roman" w:hAnsi="Times New Roman"/>
                <w:sz w:val="20"/>
                <w:szCs w:val="20"/>
                <w:b w:val="1"/>
                <w:bCs w:val="1"/>
                <w:color w:val="auto"/>
              </w:rPr>
              <w:t>Total</w:t>
            </w:r>
          </w:p>
        </w:tc>
      </w:tr>
      <w:tr>
        <w:trPr>
          <w:trHeight w:val="256"/>
        </w:trPr>
        <w:tc>
          <w:tcPr>
            <w:tcW w:w="1660" w:type="dxa"/>
            <w:vAlign w:val="bottom"/>
          </w:tcPr>
          <w:p>
            <w:pPr>
              <w:spacing w:after="0"/>
              <w:rPr>
                <w:sz w:val="22"/>
                <w:szCs w:val="22"/>
                <w:color w:val="auto"/>
              </w:rPr>
            </w:pPr>
          </w:p>
        </w:tc>
        <w:tc>
          <w:tcPr>
            <w:tcW w:w="4380" w:type="dxa"/>
            <w:vAlign w:val="bottom"/>
            <w:shd w:val="clear" w:color="auto" w:fill="CCEEFF"/>
          </w:tcPr>
          <w:p>
            <w:pPr>
              <w:spacing w:after="0"/>
              <w:rPr>
                <w:sz w:val="20"/>
                <w:szCs w:val="20"/>
                <w:color w:val="auto"/>
              </w:rPr>
            </w:pPr>
            <w:r>
              <w:rPr>
                <w:rFonts w:ascii="Times New Roman" w:cs="Times New Roman" w:eastAsia="Times New Roman" w:hAnsi="Times New Roman"/>
                <w:sz w:val="20"/>
                <w:szCs w:val="20"/>
                <w:color w:val="auto"/>
              </w:rPr>
              <w:t>Registered investment companies</w:t>
            </w:r>
          </w:p>
        </w:tc>
        <w:tc>
          <w:tcPr>
            <w:tcW w:w="320" w:type="dxa"/>
            <w:vAlign w:val="bottom"/>
            <w:shd w:val="clear" w:color="auto" w:fill="CCEEFF"/>
          </w:tcPr>
          <w:p>
            <w:pPr>
              <w:jc w:val="right"/>
              <w:ind w:right="101"/>
              <w:spacing w:after="0"/>
              <w:rPr>
                <w:sz w:val="20"/>
                <w:szCs w:val="20"/>
                <w:color w:val="auto"/>
              </w:rPr>
            </w:pPr>
            <w:r>
              <w:rPr>
                <w:rFonts w:ascii="Times New Roman" w:cs="Times New Roman" w:eastAsia="Times New Roman" w:hAnsi="Times New Roman"/>
                <w:sz w:val="20"/>
                <w:szCs w:val="20"/>
                <w:color w:val="auto"/>
                <w:w w:val="99"/>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415,435,537</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41"/>
              <w:spacing w:after="0"/>
              <w:rPr>
                <w:sz w:val="20"/>
                <w:szCs w:val="20"/>
                <w:color w:val="auto"/>
              </w:rPr>
            </w:pPr>
            <w:r>
              <w:rPr>
                <w:rFonts w:ascii="Times New Roman" w:cs="Times New Roman" w:eastAsia="Times New Roman" w:hAnsi="Times New Roman"/>
                <w:sz w:val="20"/>
                <w:szCs w:val="20"/>
                <w:color w:val="auto"/>
                <w:w w:val="99"/>
              </w:rPr>
              <w:t>$</w:t>
            </w:r>
          </w:p>
        </w:tc>
        <w:tc>
          <w:tcPr>
            <w:tcW w:w="1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415,435,537</w:t>
            </w:r>
          </w:p>
        </w:tc>
      </w:tr>
      <w:tr>
        <w:trPr>
          <w:trHeight w:val="257"/>
        </w:trPr>
        <w:tc>
          <w:tcPr>
            <w:tcW w:w="1660" w:type="dxa"/>
            <w:vAlign w:val="bottom"/>
          </w:tcPr>
          <w:p>
            <w:pPr>
              <w:spacing w:after="0"/>
              <w:rPr>
                <w:sz w:val="22"/>
                <w:szCs w:val="22"/>
                <w:color w:val="auto"/>
              </w:rPr>
            </w:pPr>
          </w:p>
        </w:tc>
        <w:tc>
          <w:tcPr>
            <w:tcW w:w="4380" w:type="dxa"/>
            <w:vAlign w:val="bottom"/>
          </w:tcPr>
          <w:p>
            <w:pPr>
              <w:spacing w:after="0"/>
              <w:rPr>
                <w:sz w:val="20"/>
                <w:szCs w:val="20"/>
                <w:color w:val="auto"/>
              </w:rPr>
            </w:pPr>
            <w:r>
              <w:rPr>
                <w:rFonts w:ascii="Times New Roman" w:cs="Times New Roman" w:eastAsia="Times New Roman" w:hAnsi="Times New Roman"/>
                <w:sz w:val="20"/>
                <w:szCs w:val="20"/>
                <w:color w:val="auto"/>
              </w:rPr>
              <w:t>Common and collective trusts(a)(b)</w:t>
            </w:r>
          </w:p>
        </w:tc>
        <w:tc>
          <w:tcPr>
            <w:tcW w:w="320" w:type="dxa"/>
            <w:vAlign w:val="bottom"/>
          </w:tcPr>
          <w:p>
            <w:pPr>
              <w:spacing w:after="0"/>
              <w:rPr>
                <w:sz w:val="22"/>
                <w:szCs w:val="22"/>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360" w:type="dxa"/>
            <w:vAlign w:val="bottom"/>
          </w:tcPr>
          <w:p>
            <w:pPr>
              <w:spacing w:after="0"/>
              <w:rPr>
                <w:sz w:val="22"/>
                <w:szCs w:val="22"/>
                <w:color w:val="auto"/>
              </w:rPr>
            </w:pP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747,619,942</w:t>
            </w:r>
          </w:p>
        </w:tc>
      </w:tr>
      <w:tr>
        <w:trPr>
          <w:trHeight w:val="256"/>
        </w:trPr>
        <w:tc>
          <w:tcPr>
            <w:tcW w:w="1660" w:type="dxa"/>
            <w:vAlign w:val="bottom"/>
          </w:tcPr>
          <w:p>
            <w:pPr>
              <w:spacing w:after="0"/>
              <w:rPr>
                <w:sz w:val="22"/>
                <w:szCs w:val="22"/>
                <w:color w:val="auto"/>
              </w:rPr>
            </w:pPr>
          </w:p>
        </w:tc>
        <w:tc>
          <w:tcPr>
            <w:tcW w:w="4380" w:type="dxa"/>
            <w:vAlign w:val="bottom"/>
            <w:shd w:val="clear" w:color="auto" w:fill="CCEEFF"/>
          </w:tcPr>
          <w:p>
            <w:pPr>
              <w:spacing w:after="0"/>
              <w:rPr>
                <w:sz w:val="20"/>
                <w:szCs w:val="20"/>
                <w:color w:val="auto"/>
              </w:rPr>
            </w:pPr>
            <w:r>
              <w:rPr>
                <w:rFonts w:ascii="Times New Roman" w:cs="Times New Roman" w:eastAsia="Times New Roman" w:hAnsi="Times New Roman"/>
                <w:sz w:val="20"/>
                <w:szCs w:val="20"/>
                <w:color w:val="auto"/>
              </w:rPr>
              <w:t>Flowserve Corporation common stock</w:t>
            </w:r>
          </w:p>
        </w:tc>
        <w:tc>
          <w:tcPr>
            <w:tcW w:w="320" w:type="dxa"/>
            <w:vAlign w:val="bottom"/>
            <w:tcBorders>
              <w:bottom w:val="single" w:sz="8" w:color="auto"/>
            </w:tcBorders>
            <w:shd w:val="clear" w:color="auto" w:fill="CCEEFF"/>
          </w:tcPr>
          <w:p>
            <w:pPr>
              <w:spacing w:after="0"/>
              <w:rPr>
                <w:sz w:val="22"/>
                <w:szCs w:val="22"/>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15,844,273</w:t>
            </w:r>
          </w:p>
        </w:tc>
        <w:tc>
          <w:tcPr>
            <w:tcW w:w="100" w:type="dxa"/>
            <w:vAlign w:val="bottom"/>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2"/>
                <w:szCs w:val="22"/>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15,844,273</w:t>
            </w:r>
          </w:p>
        </w:tc>
      </w:tr>
      <w:tr>
        <w:trPr>
          <w:trHeight w:val="250"/>
        </w:trPr>
        <w:tc>
          <w:tcPr>
            <w:tcW w:w="1660" w:type="dxa"/>
            <w:vAlign w:val="bottom"/>
          </w:tcPr>
          <w:p>
            <w:pPr>
              <w:spacing w:after="0"/>
              <w:rPr>
                <w:sz w:val="21"/>
                <w:szCs w:val="21"/>
                <w:color w:val="auto"/>
              </w:rPr>
            </w:pPr>
          </w:p>
        </w:tc>
        <w:tc>
          <w:tcPr>
            <w:tcW w:w="4380" w:type="dxa"/>
            <w:vAlign w:val="bottom"/>
          </w:tcPr>
          <w:p>
            <w:pPr>
              <w:spacing w:after="0"/>
              <w:rPr>
                <w:sz w:val="20"/>
                <w:szCs w:val="20"/>
                <w:color w:val="auto"/>
              </w:rPr>
            </w:pPr>
            <w:r>
              <w:rPr>
                <w:rFonts w:ascii="Times New Roman" w:cs="Times New Roman" w:eastAsia="Times New Roman" w:hAnsi="Times New Roman"/>
                <w:sz w:val="20"/>
                <w:szCs w:val="20"/>
                <w:color w:val="auto"/>
              </w:rPr>
              <w:t>Total investments</w:t>
            </w:r>
          </w:p>
        </w:tc>
        <w:tc>
          <w:tcPr>
            <w:tcW w:w="320" w:type="dxa"/>
            <w:vAlign w:val="bottom"/>
            <w:tcBorders>
              <w:bottom w:val="single" w:sz="8" w:color="auto"/>
            </w:tcBorders>
          </w:tcPr>
          <w:p>
            <w:pPr>
              <w:jc w:val="right"/>
              <w:ind w:right="101"/>
              <w:spacing w:after="0"/>
              <w:rPr>
                <w:sz w:val="20"/>
                <w:szCs w:val="20"/>
                <w:color w:val="auto"/>
              </w:rPr>
            </w:pPr>
            <w:r>
              <w:rPr>
                <w:rFonts w:ascii="Times New Roman" w:cs="Times New Roman" w:eastAsia="Times New Roman" w:hAnsi="Times New Roman"/>
                <w:sz w:val="20"/>
                <w:szCs w:val="20"/>
                <w:color w:val="auto"/>
                <w:w w:val="99"/>
              </w:rPr>
              <w:t>$</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431,279,810</w:t>
            </w:r>
          </w:p>
        </w:tc>
        <w:tc>
          <w:tcPr>
            <w:tcW w:w="100" w:type="dxa"/>
            <w:vAlign w:val="bottom"/>
          </w:tcPr>
          <w:p>
            <w:pPr>
              <w:spacing w:after="0"/>
              <w:rPr>
                <w:sz w:val="21"/>
                <w:szCs w:val="21"/>
                <w:color w:val="auto"/>
              </w:rPr>
            </w:pPr>
          </w:p>
        </w:tc>
        <w:tc>
          <w:tcPr>
            <w:tcW w:w="360" w:type="dxa"/>
            <w:vAlign w:val="bottom"/>
            <w:tcBorders>
              <w:bottom w:val="single" w:sz="8" w:color="auto"/>
            </w:tcBorders>
          </w:tcPr>
          <w:p>
            <w:pPr>
              <w:jc w:val="right"/>
              <w:ind w:right="141"/>
              <w:spacing w:after="0"/>
              <w:rPr>
                <w:sz w:val="20"/>
                <w:szCs w:val="20"/>
                <w:color w:val="auto"/>
              </w:rPr>
            </w:pPr>
            <w:r>
              <w:rPr>
                <w:rFonts w:ascii="Times New Roman" w:cs="Times New Roman" w:eastAsia="Times New Roman" w:hAnsi="Times New Roman"/>
                <w:sz w:val="20"/>
                <w:szCs w:val="20"/>
                <w:color w:val="auto"/>
                <w:w w:val="99"/>
              </w:rPr>
              <w:t>$</w:t>
            </w:r>
          </w:p>
        </w:tc>
        <w:tc>
          <w:tcPr>
            <w:tcW w:w="1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1,178,899,752</w:t>
            </w:r>
          </w:p>
        </w:tc>
      </w:tr>
      <w:tr>
        <w:trPr>
          <w:trHeight w:val="20"/>
        </w:trPr>
        <w:tc>
          <w:tcPr>
            <w:tcW w:w="166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7" w:lineRule="exact"/>
        <w:rPr>
          <w:sz w:val="20"/>
          <w:szCs w:val="20"/>
          <w:color w:val="auto"/>
        </w:rPr>
      </w:pPr>
    </w:p>
    <w:tbl>
      <w:tblPr>
        <w:tblLayout w:type="fixed"/>
        <w:tblInd w:w="2080" w:type="dxa"/>
        <w:tblCellMar>
          <w:top w:w="0" w:type="dxa"/>
          <w:left w:w="0" w:type="dxa"/>
          <w:bottom w:w="0" w:type="dxa"/>
          <w:right w:w="0" w:type="dxa"/>
        </w:tblCellMar>
      </w:tblPr>
      <w:tr>
        <w:trPr>
          <w:trHeight w:val="266"/>
        </w:trPr>
        <w:tc>
          <w:tcPr>
            <w:tcW w:w="438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3200" w:type="dxa"/>
            <w:vAlign w:val="bottom"/>
            <w:tcBorders>
              <w:bottom w:val="single" w:sz="8" w:color="auto"/>
            </w:tcBorders>
            <w:gridSpan w:val="4"/>
          </w:tcPr>
          <w:p>
            <w:pPr>
              <w:jc w:val="right"/>
              <w:ind w:right="861"/>
              <w:spacing w:after="0"/>
              <w:rPr>
                <w:sz w:val="20"/>
                <w:szCs w:val="20"/>
                <w:color w:val="auto"/>
              </w:rPr>
            </w:pPr>
            <w:r>
              <w:rPr>
                <w:rFonts w:ascii="Times New Roman" w:cs="Times New Roman" w:eastAsia="Times New Roman" w:hAnsi="Times New Roman"/>
                <w:sz w:val="20"/>
                <w:szCs w:val="20"/>
                <w:b w:val="1"/>
                <w:bCs w:val="1"/>
                <w:color w:val="auto"/>
              </w:rPr>
              <w:t>December 31, 2020</w:t>
            </w:r>
          </w:p>
        </w:tc>
      </w:tr>
      <w:tr>
        <w:trPr>
          <w:trHeight w:val="254"/>
        </w:trPr>
        <w:tc>
          <w:tcPr>
            <w:tcW w:w="43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0" w:type="dxa"/>
            <w:vAlign w:val="bottom"/>
            <w:gridSpan w:val="2"/>
          </w:tcPr>
          <w:p>
            <w:pPr>
              <w:ind w:left="200"/>
              <w:spacing w:after="0"/>
              <w:rPr>
                <w:sz w:val="20"/>
                <w:szCs w:val="20"/>
                <w:color w:val="auto"/>
              </w:rPr>
            </w:pPr>
            <w:r>
              <w:rPr>
                <w:rFonts w:ascii="Times New Roman" w:cs="Times New Roman" w:eastAsia="Times New Roman" w:hAnsi="Times New Roman"/>
                <w:sz w:val="20"/>
                <w:szCs w:val="20"/>
                <w:b w:val="1"/>
                <w:bCs w:val="1"/>
                <w:color w:val="auto"/>
              </w:rPr>
              <w:t>Level I</w:t>
            </w:r>
          </w:p>
        </w:tc>
        <w:tc>
          <w:tcPr>
            <w:tcW w:w="360" w:type="dxa"/>
            <w:vAlign w:val="bottom"/>
          </w:tcPr>
          <w:p>
            <w:pPr>
              <w:spacing w:after="0"/>
              <w:rPr>
                <w:sz w:val="22"/>
                <w:szCs w:val="22"/>
                <w:color w:val="auto"/>
              </w:rPr>
            </w:pPr>
          </w:p>
        </w:tc>
        <w:tc>
          <w:tcPr>
            <w:tcW w:w="1440" w:type="dxa"/>
            <w:vAlign w:val="bottom"/>
          </w:tcPr>
          <w:p>
            <w:pPr>
              <w:jc w:val="right"/>
              <w:ind w:right="581"/>
              <w:spacing w:after="0"/>
              <w:rPr>
                <w:sz w:val="20"/>
                <w:szCs w:val="20"/>
                <w:color w:val="auto"/>
              </w:rPr>
            </w:pPr>
            <w:r>
              <w:rPr>
                <w:rFonts w:ascii="Times New Roman" w:cs="Times New Roman" w:eastAsia="Times New Roman" w:hAnsi="Times New Roman"/>
                <w:sz w:val="20"/>
                <w:szCs w:val="20"/>
                <w:b w:val="1"/>
                <w:bCs w:val="1"/>
                <w:color w:val="auto"/>
              </w:rPr>
              <w:t>Total</w:t>
            </w:r>
          </w:p>
        </w:tc>
      </w:tr>
      <w:tr>
        <w:trPr>
          <w:trHeight w:val="257"/>
        </w:trPr>
        <w:tc>
          <w:tcPr>
            <w:tcW w:w="4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Registered investment companies</w:t>
            </w:r>
          </w:p>
        </w:tc>
        <w:tc>
          <w:tcPr>
            <w:tcW w:w="320" w:type="dxa"/>
            <w:vAlign w:val="bottom"/>
            <w:shd w:val="clear" w:color="auto" w:fill="CCEEFF"/>
          </w:tcPr>
          <w:p>
            <w:pPr>
              <w:jc w:val="right"/>
              <w:ind w:right="101"/>
              <w:spacing w:after="0"/>
              <w:rPr>
                <w:sz w:val="20"/>
                <w:szCs w:val="20"/>
                <w:color w:val="auto"/>
              </w:rPr>
            </w:pPr>
            <w:r>
              <w:rPr>
                <w:rFonts w:ascii="Times New Roman" w:cs="Times New Roman" w:eastAsia="Times New Roman" w:hAnsi="Times New Roman"/>
                <w:sz w:val="20"/>
                <w:szCs w:val="20"/>
                <w:color w:val="auto"/>
                <w:w w:val="99"/>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376,458,387</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41"/>
              <w:spacing w:after="0"/>
              <w:rPr>
                <w:sz w:val="20"/>
                <w:szCs w:val="20"/>
                <w:color w:val="auto"/>
              </w:rPr>
            </w:pPr>
            <w:r>
              <w:rPr>
                <w:rFonts w:ascii="Times New Roman" w:cs="Times New Roman" w:eastAsia="Times New Roman" w:hAnsi="Times New Roman"/>
                <w:sz w:val="20"/>
                <w:szCs w:val="20"/>
                <w:color w:val="auto"/>
                <w:w w:val="99"/>
              </w:rPr>
              <w:t>$</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376,458,387</w:t>
            </w:r>
          </w:p>
        </w:tc>
      </w:tr>
      <w:tr>
        <w:trPr>
          <w:trHeight w:val="256"/>
        </w:trPr>
        <w:tc>
          <w:tcPr>
            <w:tcW w:w="43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Common and collective trusts(a)(b)</w:t>
            </w:r>
          </w:p>
        </w:tc>
        <w:tc>
          <w:tcPr>
            <w:tcW w:w="320" w:type="dxa"/>
            <w:vAlign w:val="bottom"/>
          </w:tcPr>
          <w:p>
            <w:pPr>
              <w:spacing w:after="0"/>
              <w:rPr>
                <w:sz w:val="22"/>
                <w:szCs w:val="22"/>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36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684,376,954</w:t>
            </w:r>
          </w:p>
        </w:tc>
      </w:tr>
      <w:tr>
        <w:trPr>
          <w:trHeight w:val="257"/>
        </w:trPr>
        <w:tc>
          <w:tcPr>
            <w:tcW w:w="4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Flowserve Corporation common stock</w:t>
            </w:r>
          </w:p>
        </w:tc>
        <w:tc>
          <w:tcPr>
            <w:tcW w:w="320" w:type="dxa"/>
            <w:vAlign w:val="bottom"/>
            <w:tcBorders>
              <w:bottom w:val="single" w:sz="8" w:color="auto"/>
            </w:tcBorders>
            <w:shd w:val="clear" w:color="auto" w:fill="CCEEFF"/>
          </w:tcPr>
          <w:p>
            <w:pPr>
              <w:spacing w:after="0"/>
              <w:rPr>
                <w:sz w:val="22"/>
                <w:szCs w:val="22"/>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21,540,107</w:t>
            </w:r>
          </w:p>
        </w:tc>
        <w:tc>
          <w:tcPr>
            <w:tcW w:w="100" w:type="dxa"/>
            <w:vAlign w:val="bottom"/>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2"/>
                <w:szCs w:val="22"/>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21,540,107</w:t>
            </w:r>
          </w:p>
        </w:tc>
      </w:tr>
      <w:tr>
        <w:trPr>
          <w:trHeight w:val="250"/>
        </w:trPr>
        <w:tc>
          <w:tcPr>
            <w:tcW w:w="43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Total investments</w:t>
            </w:r>
          </w:p>
        </w:tc>
        <w:tc>
          <w:tcPr>
            <w:tcW w:w="320" w:type="dxa"/>
            <w:vAlign w:val="bottom"/>
            <w:tcBorders>
              <w:bottom w:val="single" w:sz="8" w:color="auto"/>
            </w:tcBorders>
          </w:tcPr>
          <w:p>
            <w:pPr>
              <w:jc w:val="right"/>
              <w:ind w:right="101"/>
              <w:spacing w:after="0"/>
              <w:rPr>
                <w:sz w:val="20"/>
                <w:szCs w:val="20"/>
                <w:color w:val="auto"/>
              </w:rPr>
            </w:pPr>
            <w:r>
              <w:rPr>
                <w:rFonts w:ascii="Times New Roman" w:cs="Times New Roman" w:eastAsia="Times New Roman" w:hAnsi="Times New Roman"/>
                <w:sz w:val="20"/>
                <w:szCs w:val="20"/>
                <w:color w:val="auto"/>
                <w:w w:val="99"/>
              </w:rPr>
              <w:t>$</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397,998,494</w:t>
            </w:r>
          </w:p>
        </w:tc>
        <w:tc>
          <w:tcPr>
            <w:tcW w:w="100" w:type="dxa"/>
            <w:vAlign w:val="bottom"/>
          </w:tcPr>
          <w:p>
            <w:pPr>
              <w:spacing w:after="0"/>
              <w:rPr>
                <w:sz w:val="21"/>
                <w:szCs w:val="21"/>
                <w:color w:val="auto"/>
              </w:rPr>
            </w:pPr>
          </w:p>
        </w:tc>
        <w:tc>
          <w:tcPr>
            <w:tcW w:w="360" w:type="dxa"/>
            <w:vAlign w:val="bottom"/>
            <w:tcBorders>
              <w:bottom w:val="single" w:sz="8" w:color="auto"/>
            </w:tcBorders>
          </w:tcPr>
          <w:p>
            <w:pPr>
              <w:jc w:val="right"/>
              <w:ind w:right="141"/>
              <w:spacing w:after="0"/>
              <w:rPr>
                <w:sz w:val="20"/>
                <w:szCs w:val="20"/>
                <w:color w:val="auto"/>
              </w:rPr>
            </w:pPr>
            <w:r>
              <w:rPr>
                <w:rFonts w:ascii="Times New Roman" w:cs="Times New Roman" w:eastAsia="Times New Roman" w:hAnsi="Times New Roman"/>
                <w:sz w:val="20"/>
                <w:szCs w:val="20"/>
                <w:color w:val="auto"/>
                <w:w w:val="99"/>
              </w:rPr>
              <w:t>$</w:t>
            </w: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1,082,375,448</w:t>
            </w:r>
          </w:p>
        </w:tc>
      </w:tr>
      <w:tr>
        <w:trPr>
          <w:trHeight w:val="20"/>
        </w:trPr>
        <w:tc>
          <w:tcPr>
            <w:tcW w:w="43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r>
    </w:tbl>
    <w:p>
      <w:pPr>
        <w:spacing w:after="0" w:line="315" w:lineRule="exact"/>
        <w:rPr>
          <w:sz w:val="20"/>
          <w:szCs w:val="20"/>
          <w:color w:val="auto"/>
        </w:rPr>
      </w:pPr>
    </w:p>
    <w:p>
      <w:pPr>
        <w:ind w:left="640" w:hanging="308"/>
        <w:spacing w:after="0"/>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fair values of the investments have been estimated using the NAV (or an equivalent) expedient.</w:t>
      </w:r>
    </w:p>
    <w:p>
      <w:pPr>
        <w:spacing w:after="0" w:line="28" w:lineRule="exact"/>
        <w:rPr>
          <w:rFonts w:ascii="Times New Roman" w:cs="Times New Roman" w:eastAsia="Times New Roman" w:hAnsi="Times New Roman"/>
          <w:sz w:val="20"/>
          <w:szCs w:val="20"/>
          <w:color w:val="auto"/>
        </w:rPr>
      </w:pPr>
    </w:p>
    <w:p>
      <w:pPr>
        <w:ind w:left="640" w:hanging="308"/>
        <w:spacing w:after="0"/>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Common and collective trusts, further outlined in Note 3.</w:t>
      </w:r>
    </w:p>
    <w:p>
      <w:pPr>
        <w:sectPr>
          <w:pgSz w:w="11900" w:h="16838" w:orient="portrait"/>
          <w:cols w:equalWidth="0" w:num="1">
            <w:col w:w="11240"/>
          </w:cols>
          <w:pgMar w:left="320" w:top="1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9</w:t>
      </w:r>
    </w:p>
    <w:p>
      <w:pPr>
        <w:sectPr>
          <w:pgSz w:w="11900" w:h="16838" w:orient="portrait"/>
          <w:cols w:equalWidth="0" w:num="1">
            <w:col w:w="11240"/>
          </w:cols>
          <w:pgMar w:left="320" w:top="111" w:right="339" w:bottom="1440" w:gutter="0" w:footer="0" w:header="0"/>
          <w:type w:val="continuous"/>
        </w:sectPr>
      </w:pPr>
    </w:p>
    <w:bookmarkStart w:id="16" w:name="page17"/>
    <w:bookmarkEnd w:id="16"/>
    <w:p>
      <w:pPr>
        <w:ind w:left="73"/>
        <w:spacing w:after="0"/>
        <w:rPr>
          <w:sz w:val="20"/>
          <w:szCs w:val="20"/>
          <w:color w:val="auto"/>
        </w:rPr>
      </w:pPr>
      <w:r>
        <w:rPr>
          <w:rFonts w:ascii="Times New Roman" w:cs="Times New Roman" w:eastAsia="Times New Roman" w:hAnsi="Times New Roman"/>
          <w:sz w:val="25"/>
          <w:szCs w:val="25"/>
          <w:b w:val="1"/>
          <w:bCs w:val="1"/>
          <w:color w:val="auto"/>
        </w:rPr>
        <w:t>FLOWSERVE CORPORATION</w:t>
      </w:r>
    </w:p>
    <w:p>
      <w:pPr>
        <w:spacing w:after="0" w:line="44" w:lineRule="exact"/>
        <w:rPr>
          <w:sz w:val="20"/>
          <w:szCs w:val="20"/>
          <w:color w:val="auto"/>
        </w:rPr>
      </w:pPr>
    </w:p>
    <w:p>
      <w:pPr>
        <w:ind w:left="73"/>
        <w:spacing w:after="0"/>
        <w:rPr>
          <w:sz w:val="20"/>
          <w:szCs w:val="20"/>
          <w:color w:val="auto"/>
        </w:rPr>
      </w:pPr>
      <w:r>
        <w:rPr>
          <w:rFonts w:ascii="Times New Roman" w:cs="Times New Roman" w:eastAsia="Times New Roman" w:hAnsi="Times New Roman"/>
          <w:sz w:val="25"/>
          <w:szCs w:val="25"/>
          <w:b w:val="1"/>
          <w:bCs w:val="1"/>
          <w:color w:val="auto"/>
        </w:rPr>
        <w:t>RETIREMENT SAVINGS PLAN</w:t>
      </w:r>
    </w:p>
    <w:p>
      <w:pPr>
        <w:spacing w:after="0" w:line="356" w:lineRule="exact"/>
        <w:rPr>
          <w:sz w:val="20"/>
          <w:szCs w:val="20"/>
          <w:color w:val="auto"/>
        </w:rPr>
      </w:pPr>
    </w:p>
    <w:p>
      <w:pPr>
        <w:ind w:left="133"/>
        <w:spacing w:after="0"/>
        <w:rPr>
          <w:sz w:val="20"/>
          <w:szCs w:val="20"/>
          <w:color w:val="auto"/>
        </w:rPr>
      </w:pPr>
      <w:r>
        <w:rPr>
          <w:rFonts w:ascii="Times New Roman" w:cs="Times New Roman" w:eastAsia="Times New Roman" w:hAnsi="Times New Roman"/>
          <w:sz w:val="20"/>
          <w:szCs w:val="20"/>
          <w:b w:val="1"/>
          <w:bCs w:val="1"/>
          <w:color w:val="auto"/>
        </w:rPr>
        <w:t>NOTES TO FINANCIAL STATEMENTS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wp:posOffset>
            </wp:positionH>
            <wp:positionV relativeFrom="paragraph">
              <wp:posOffset>25400</wp:posOffset>
            </wp:positionV>
            <wp:extent cx="709803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0980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13" w:hanging="413"/>
        <w:spacing w:after="0"/>
        <w:tabs>
          <w:tab w:leader="none" w:pos="413" w:val="left"/>
        </w:tabs>
        <w:numPr>
          <w:ilvl w:val="0"/>
          <w:numId w:val="1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FORM 5500 RECONCILIATION</w:t>
      </w:r>
    </w:p>
    <w:p>
      <w:pPr>
        <w:spacing w:after="0" w:line="260" w:lineRule="exact"/>
        <w:rPr>
          <w:sz w:val="20"/>
          <w:szCs w:val="20"/>
          <w:color w:val="auto"/>
        </w:rPr>
      </w:pPr>
    </w:p>
    <w:p>
      <w:pPr>
        <w:ind w:left="493"/>
        <w:spacing w:after="0"/>
        <w:rPr>
          <w:sz w:val="20"/>
          <w:szCs w:val="20"/>
          <w:color w:val="auto"/>
        </w:rPr>
      </w:pPr>
      <w:r>
        <w:rPr>
          <w:rFonts w:ascii="Times New Roman" w:cs="Times New Roman" w:eastAsia="Times New Roman" w:hAnsi="Times New Roman"/>
          <w:sz w:val="20"/>
          <w:szCs w:val="20"/>
          <w:color w:val="auto"/>
        </w:rPr>
        <w:t>The following is a reconciliation of net assets available for benefits per the accompanying financial statements to the Form 5500 at</w:t>
      </w:r>
    </w:p>
    <w:p>
      <w:pPr>
        <w:spacing w:after="0" w:line="22" w:lineRule="exact"/>
        <w:rPr>
          <w:sz w:val="20"/>
          <w:szCs w:val="20"/>
          <w:color w:val="auto"/>
        </w:rPr>
      </w:pPr>
    </w:p>
    <w:p>
      <w:pPr>
        <w:ind w:left="73"/>
        <w:spacing w:after="0"/>
        <w:rPr>
          <w:sz w:val="20"/>
          <w:szCs w:val="20"/>
          <w:color w:val="auto"/>
        </w:rPr>
      </w:pPr>
      <w:r>
        <w:rPr>
          <w:rFonts w:ascii="Times New Roman" w:cs="Times New Roman" w:eastAsia="Times New Roman" w:hAnsi="Times New Roman"/>
          <w:sz w:val="20"/>
          <w:szCs w:val="20"/>
          <w:color w:val="auto"/>
        </w:rPr>
        <w:t>December 31, 2021 and 2020:</w:t>
      </w:r>
    </w:p>
    <w:p>
      <w:pPr>
        <w:spacing w:after="0" w:line="122" w:lineRule="exact"/>
        <w:rPr>
          <w:sz w:val="20"/>
          <w:szCs w:val="20"/>
          <w:color w:val="auto"/>
        </w:rPr>
      </w:pPr>
    </w:p>
    <w:tbl>
      <w:tblPr>
        <w:tblLayout w:type="fixed"/>
        <w:tblInd w:w="73" w:type="dxa"/>
        <w:tblCellMar>
          <w:top w:w="0" w:type="dxa"/>
          <w:left w:w="0" w:type="dxa"/>
          <w:bottom w:w="0" w:type="dxa"/>
          <w:right w:w="0" w:type="dxa"/>
        </w:tblCellMar>
      </w:tblPr>
      <w:tr>
        <w:trPr>
          <w:trHeight w:val="266"/>
        </w:trPr>
        <w:tc>
          <w:tcPr>
            <w:tcW w:w="7780" w:type="dxa"/>
            <w:vAlign w:val="bottom"/>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3160" w:type="dxa"/>
            <w:vAlign w:val="bottom"/>
            <w:tcBorders>
              <w:bottom w:val="single" w:sz="8" w:color="auto"/>
            </w:tcBorders>
            <w:gridSpan w:val="4"/>
          </w:tcPr>
          <w:p>
            <w:pPr>
              <w:jc w:val="right"/>
              <w:ind w:right="1061"/>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4"/>
        </w:trPr>
        <w:tc>
          <w:tcPr>
            <w:tcW w:w="778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541"/>
              <w:spacing w:after="0"/>
              <w:rPr>
                <w:sz w:val="20"/>
                <w:szCs w:val="20"/>
                <w:color w:val="auto"/>
              </w:rPr>
            </w:pPr>
            <w:r>
              <w:rPr>
                <w:rFonts w:ascii="Times New Roman" w:cs="Times New Roman" w:eastAsia="Times New Roman" w:hAnsi="Times New Roman"/>
                <w:sz w:val="20"/>
                <w:szCs w:val="20"/>
                <w:b w:val="1"/>
                <w:bCs w:val="1"/>
                <w:color w:val="auto"/>
              </w:rPr>
              <w:t>2021</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380" w:type="dxa"/>
            <w:vAlign w:val="bottom"/>
            <w:tcBorders>
              <w:bottom w:val="single" w:sz="8" w:color="auto"/>
            </w:tcBorders>
          </w:tcPr>
          <w:p>
            <w:pPr>
              <w:jc w:val="right"/>
              <w:ind w:right="541"/>
              <w:spacing w:after="0"/>
              <w:rPr>
                <w:sz w:val="20"/>
                <w:szCs w:val="20"/>
                <w:color w:val="auto"/>
              </w:rPr>
            </w:pPr>
            <w:r>
              <w:rPr>
                <w:rFonts w:ascii="Times New Roman" w:cs="Times New Roman" w:eastAsia="Times New Roman" w:hAnsi="Times New Roman"/>
                <w:sz w:val="20"/>
                <w:szCs w:val="20"/>
                <w:b w:val="1"/>
                <w:bCs w:val="1"/>
                <w:color w:val="auto"/>
              </w:rPr>
              <w:t>2020</w:t>
            </w:r>
          </w:p>
        </w:tc>
        <w:tc>
          <w:tcPr>
            <w:tcW w:w="0" w:type="dxa"/>
            <w:vAlign w:val="bottom"/>
          </w:tcPr>
          <w:p>
            <w:pPr>
              <w:spacing w:after="0"/>
              <w:rPr>
                <w:sz w:val="1"/>
                <w:szCs w:val="1"/>
                <w:color w:val="auto"/>
              </w:rPr>
            </w:pPr>
          </w:p>
        </w:tc>
      </w:tr>
      <w:tr>
        <w:trPr>
          <w:trHeight w:val="250"/>
        </w:trPr>
        <w:tc>
          <w:tcPr>
            <w:tcW w:w="7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Net assets available for benefits per the financial statements</w:t>
            </w:r>
          </w:p>
        </w:tc>
        <w:tc>
          <w:tcPr>
            <w:tcW w:w="300" w:type="dxa"/>
            <w:vAlign w:val="bottom"/>
            <w:shd w:val="clear" w:color="auto" w:fill="CCEEFF"/>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1,195,998,177</w:t>
            </w:r>
          </w:p>
        </w:tc>
        <w:tc>
          <w:tcPr>
            <w:tcW w:w="100" w:type="dxa"/>
            <w:vAlign w:val="bottom"/>
            <w:shd w:val="clear" w:color="auto" w:fill="CCEEFF"/>
          </w:tcPr>
          <w:p>
            <w:pPr>
              <w:spacing w:after="0"/>
              <w:rPr>
                <w:sz w:val="21"/>
                <w:szCs w:val="21"/>
                <w:color w:val="auto"/>
              </w:rPr>
            </w:pPr>
          </w:p>
        </w:tc>
        <w:tc>
          <w:tcPr>
            <w:tcW w:w="300" w:type="dxa"/>
            <w:vAlign w:val="bottom"/>
            <w:shd w:val="clear" w:color="auto" w:fill="CCEEFF"/>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1,100,455,803</w:t>
            </w:r>
          </w:p>
        </w:tc>
        <w:tc>
          <w:tcPr>
            <w:tcW w:w="0" w:type="dxa"/>
            <w:vAlign w:val="bottom"/>
          </w:tcPr>
          <w:p>
            <w:pPr>
              <w:spacing w:after="0"/>
              <w:rPr>
                <w:sz w:val="1"/>
                <w:szCs w:val="1"/>
                <w:color w:val="auto"/>
              </w:rPr>
            </w:pPr>
          </w:p>
        </w:tc>
      </w:tr>
      <w:tr>
        <w:trPr>
          <w:trHeight w:val="189"/>
        </w:trPr>
        <w:tc>
          <w:tcPr>
            <w:tcW w:w="7780" w:type="dxa"/>
            <w:vAlign w:val="bottom"/>
          </w:tcPr>
          <w:p>
            <w:pPr>
              <w:ind w:left="20"/>
              <w:spacing w:after="0" w:line="189" w:lineRule="exact"/>
              <w:rPr>
                <w:sz w:val="20"/>
                <w:szCs w:val="20"/>
                <w:color w:val="auto"/>
              </w:rPr>
            </w:pPr>
            <w:r>
              <w:rPr>
                <w:rFonts w:ascii="Times New Roman" w:cs="Times New Roman" w:eastAsia="Times New Roman" w:hAnsi="Times New Roman"/>
                <w:sz w:val="20"/>
                <w:szCs w:val="20"/>
                <w:color w:val="auto"/>
              </w:rPr>
              <w:t>Amounts deemed distributions of participant loans as reflected in the Form 5500 for the current</w:t>
            </w:r>
          </w:p>
        </w:tc>
        <w:tc>
          <w:tcPr>
            <w:tcW w:w="300" w:type="dxa"/>
            <w:vAlign w:val="bottom"/>
          </w:tcPr>
          <w:p>
            <w:pPr>
              <w:spacing w:after="0"/>
              <w:rPr>
                <w:sz w:val="16"/>
                <w:szCs w:val="16"/>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(130,779)</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(28,650)</w:t>
            </w:r>
          </w:p>
        </w:tc>
        <w:tc>
          <w:tcPr>
            <w:tcW w:w="0" w:type="dxa"/>
            <w:vAlign w:val="bottom"/>
          </w:tcPr>
          <w:p>
            <w:pPr>
              <w:spacing w:after="0"/>
              <w:rPr>
                <w:sz w:val="1"/>
                <w:szCs w:val="1"/>
                <w:color w:val="auto"/>
              </w:rPr>
            </w:pPr>
          </w:p>
        </w:tc>
      </w:tr>
      <w:tr>
        <w:trPr>
          <w:trHeight w:val="257"/>
        </w:trPr>
        <w:tc>
          <w:tcPr>
            <w:tcW w:w="77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year</w:t>
            </w:r>
          </w:p>
        </w:tc>
        <w:tc>
          <w:tcPr>
            <w:tcW w:w="300" w:type="dxa"/>
            <w:vAlign w:val="bottom"/>
          </w:tcPr>
          <w:p>
            <w:pPr>
              <w:spacing w:after="0"/>
              <w:rPr>
                <w:sz w:val="22"/>
                <w:szCs w:val="22"/>
                <w:color w:val="auto"/>
              </w:rPr>
            </w:pPr>
          </w:p>
        </w:tc>
        <w:tc>
          <w:tcPr>
            <w:tcW w:w="138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8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89"/>
        </w:trPr>
        <w:tc>
          <w:tcPr>
            <w:tcW w:w="7780" w:type="dxa"/>
            <w:vAlign w:val="bottom"/>
            <w:shd w:val="clear" w:color="auto" w:fill="CCEEFF"/>
          </w:tcPr>
          <w:p>
            <w:pPr>
              <w:ind w:left="20"/>
              <w:spacing w:after="0" w:line="189" w:lineRule="exact"/>
              <w:rPr>
                <w:sz w:val="20"/>
                <w:szCs w:val="20"/>
                <w:color w:val="auto"/>
              </w:rPr>
            </w:pPr>
            <w:r>
              <w:rPr>
                <w:rFonts w:ascii="Times New Roman" w:cs="Times New Roman" w:eastAsia="Times New Roman" w:hAnsi="Times New Roman"/>
                <w:sz w:val="20"/>
                <w:szCs w:val="20"/>
                <w:color w:val="auto"/>
              </w:rPr>
              <w:t>Amounts deemed distributions of participant loans as reflected in the Form 5500 from prior</w:t>
            </w:r>
          </w:p>
        </w:tc>
        <w:tc>
          <w:tcPr>
            <w:tcW w:w="300" w:type="dxa"/>
            <w:vAlign w:val="bottom"/>
            <w:shd w:val="clear" w:color="auto" w:fill="CCEEFF"/>
          </w:tcPr>
          <w:p>
            <w:pPr>
              <w:spacing w:after="0"/>
              <w:rPr>
                <w:sz w:val="16"/>
                <w:szCs w:val="16"/>
                <w:color w:val="auto"/>
              </w:rPr>
            </w:pPr>
          </w:p>
        </w:tc>
        <w:tc>
          <w:tcPr>
            <w:tcW w:w="13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(255,377)</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3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(261,913)</w:t>
            </w:r>
          </w:p>
        </w:tc>
        <w:tc>
          <w:tcPr>
            <w:tcW w:w="0" w:type="dxa"/>
            <w:vAlign w:val="bottom"/>
          </w:tcPr>
          <w:p>
            <w:pPr>
              <w:spacing w:after="0"/>
              <w:rPr>
                <w:sz w:val="1"/>
                <w:szCs w:val="1"/>
                <w:color w:val="auto"/>
              </w:rPr>
            </w:pPr>
          </w:p>
        </w:tc>
      </w:tr>
      <w:tr>
        <w:trPr>
          <w:trHeight w:val="256"/>
        </w:trPr>
        <w:tc>
          <w:tcPr>
            <w:tcW w:w="7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years</w:t>
            </w:r>
          </w:p>
        </w:tc>
        <w:tc>
          <w:tcPr>
            <w:tcW w:w="30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vMerge w:val="continue"/>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vMerge w:val="continue"/>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77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Net assets available for benefits per Form 5500</w:t>
            </w:r>
          </w:p>
        </w:tc>
        <w:tc>
          <w:tcPr>
            <w:tcW w:w="300" w:type="dxa"/>
            <w:vAlign w:val="bottom"/>
            <w:tcBorders>
              <w:bottom w:val="single" w:sz="8" w:color="auto"/>
            </w:tcBorders>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1,195,612,021</w:t>
            </w:r>
          </w:p>
        </w:tc>
        <w:tc>
          <w:tcPr>
            <w:tcW w:w="100" w:type="dxa"/>
            <w:vAlign w:val="bottom"/>
          </w:tcPr>
          <w:p>
            <w:pPr>
              <w:spacing w:after="0"/>
              <w:rPr>
                <w:sz w:val="21"/>
                <w:szCs w:val="21"/>
                <w:color w:val="auto"/>
              </w:rPr>
            </w:pPr>
          </w:p>
        </w:tc>
        <w:tc>
          <w:tcPr>
            <w:tcW w:w="300" w:type="dxa"/>
            <w:vAlign w:val="bottom"/>
            <w:tcBorders>
              <w:bottom w:val="single" w:sz="8" w:color="auto"/>
            </w:tcBorders>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1,100,165,240</w:t>
            </w:r>
          </w:p>
        </w:tc>
        <w:tc>
          <w:tcPr>
            <w:tcW w:w="0" w:type="dxa"/>
            <w:vAlign w:val="bottom"/>
          </w:tcPr>
          <w:p>
            <w:pPr>
              <w:spacing w:after="0"/>
              <w:rPr>
                <w:sz w:val="1"/>
                <w:szCs w:val="1"/>
                <w:color w:val="auto"/>
              </w:rPr>
            </w:pPr>
          </w:p>
        </w:tc>
      </w:tr>
      <w:tr>
        <w:trPr>
          <w:trHeight w:val="21"/>
        </w:trPr>
        <w:tc>
          <w:tcPr>
            <w:tcW w:w="77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47" w:lineRule="exact"/>
        <w:rPr>
          <w:sz w:val="20"/>
          <w:szCs w:val="20"/>
          <w:color w:val="auto"/>
        </w:rPr>
      </w:pPr>
    </w:p>
    <w:p>
      <w:pPr>
        <w:ind w:left="73" w:right="280" w:firstLine="405"/>
        <w:spacing w:after="0" w:line="269" w:lineRule="auto"/>
        <w:rPr>
          <w:sz w:val="20"/>
          <w:szCs w:val="20"/>
          <w:color w:val="auto"/>
        </w:rPr>
      </w:pPr>
      <w:r>
        <w:rPr>
          <w:rFonts w:ascii="Times New Roman" w:cs="Times New Roman" w:eastAsia="Times New Roman" w:hAnsi="Times New Roman"/>
          <w:sz w:val="20"/>
          <w:szCs w:val="20"/>
          <w:color w:val="auto"/>
        </w:rPr>
        <w:t>The following is a reconciliation of the total increase in net assets available for benefits per the accompanying financial statement for the year ended December 31, 2021 to net income per Form 5500:</w:t>
      </w:r>
    </w:p>
    <w:p>
      <w:pPr>
        <w:spacing w:after="0" w:line="88" w:lineRule="exact"/>
        <w:rPr>
          <w:sz w:val="20"/>
          <w:szCs w:val="20"/>
          <w:color w:val="auto"/>
        </w:rPr>
      </w:pPr>
    </w:p>
    <w:tbl>
      <w:tblPr>
        <w:tblLayout w:type="fixed"/>
        <w:tblInd w:w="73" w:type="dxa"/>
        <w:tblCellMar>
          <w:top w:w="0" w:type="dxa"/>
          <w:left w:w="0" w:type="dxa"/>
          <w:bottom w:w="0" w:type="dxa"/>
          <w:right w:w="0" w:type="dxa"/>
        </w:tblCellMar>
      </w:tblPr>
      <w:tr>
        <w:trPr>
          <w:trHeight w:val="256"/>
        </w:trPr>
        <w:tc>
          <w:tcPr>
            <w:tcW w:w="9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Increase in net assets available for benefits per the financial statements</w:t>
            </w:r>
          </w:p>
        </w:tc>
        <w:tc>
          <w:tcPr>
            <w:tcW w:w="360" w:type="dxa"/>
            <w:vAlign w:val="bottom"/>
            <w:shd w:val="clear" w:color="auto" w:fill="CCEEFF"/>
          </w:tcPr>
          <w:p>
            <w:pPr>
              <w:jc w:val="right"/>
              <w:ind w:right="141"/>
              <w:spacing w:after="0"/>
              <w:rPr>
                <w:sz w:val="20"/>
                <w:szCs w:val="20"/>
                <w:color w:val="auto"/>
              </w:rPr>
            </w:pPr>
            <w:r>
              <w:rPr>
                <w:rFonts w:ascii="Times New Roman" w:cs="Times New Roman" w:eastAsia="Times New Roman" w:hAnsi="Times New Roman"/>
                <w:sz w:val="20"/>
                <w:szCs w:val="20"/>
                <w:color w:val="auto"/>
                <w:w w:val="99"/>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95,542,374</w:t>
            </w:r>
          </w:p>
        </w:tc>
      </w:tr>
      <w:tr>
        <w:trPr>
          <w:trHeight w:val="257"/>
        </w:trPr>
        <w:tc>
          <w:tcPr>
            <w:tcW w:w="96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Amounts deemed distributions of participant loans as reflected in the Form 5500 for the current year</w:t>
            </w:r>
          </w:p>
        </w:tc>
        <w:tc>
          <w:tcPr>
            <w:tcW w:w="360" w:type="dxa"/>
            <w:vAlign w:val="bottom"/>
          </w:tcPr>
          <w:p>
            <w:pPr>
              <w:spacing w:after="0"/>
              <w:rPr>
                <w:sz w:val="22"/>
                <w:szCs w:val="22"/>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(102,129)</w:t>
            </w:r>
          </w:p>
        </w:tc>
      </w:tr>
      <w:tr>
        <w:trPr>
          <w:trHeight w:val="257"/>
        </w:trPr>
        <w:tc>
          <w:tcPr>
            <w:tcW w:w="9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0"/>
                <w:szCs w:val="20"/>
                <w:color w:val="auto"/>
              </w:rPr>
              <w:t>Distributions from prior year amounts deemed distributed</w:t>
            </w:r>
          </w:p>
        </w:tc>
        <w:tc>
          <w:tcPr>
            <w:tcW w:w="360" w:type="dxa"/>
            <w:vAlign w:val="bottom"/>
            <w:tcBorders>
              <w:bottom w:val="single" w:sz="8" w:color="auto"/>
            </w:tcBorders>
            <w:shd w:val="clear" w:color="auto" w:fill="CCEEFF"/>
          </w:tcPr>
          <w:p>
            <w:pPr>
              <w:spacing w:after="0"/>
              <w:rPr>
                <w:sz w:val="22"/>
                <w:szCs w:val="22"/>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6,536</w:t>
            </w:r>
          </w:p>
        </w:tc>
      </w:tr>
      <w:tr>
        <w:trPr>
          <w:trHeight w:val="250"/>
        </w:trPr>
        <w:tc>
          <w:tcPr>
            <w:tcW w:w="96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Total net income per Form 5500</w:t>
            </w:r>
          </w:p>
        </w:tc>
        <w:tc>
          <w:tcPr>
            <w:tcW w:w="360" w:type="dxa"/>
            <w:vAlign w:val="bottom"/>
            <w:tcBorders>
              <w:bottom w:val="single" w:sz="8" w:color="auto"/>
            </w:tcBorders>
          </w:tcPr>
          <w:p>
            <w:pPr>
              <w:jc w:val="right"/>
              <w:ind w:right="141"/>
              <w:spacing w:after="0"/>
              <w:rPr>
                <w:sz w:val="20"/>
                <w:szCs w:val="20"/>
                <w:color w:val="auto"/>
              </w:rPr>
            </w:pPr>
            <w:r>
              <w:rPr>
                <w:rFonts w:ascii="Times New Roman" w:cs="Times New Roman" w:eastAsia="Times New Roman" w:hAnsi="Times New Roman"/>
                <w:sz w:val="20"/>
                <w:szCs w:val="20"/>
                <w:color w:val="auto"/>
                <w:w w:val="99"/>
              </w:rPr>
              <w:t>$</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95,446,781</w:t>
            </w:r>
          </w:p>
        </w:tc>
      </w:tr>
      <w:tr>
        <w:trPr>
          <w:trHeight w:val="20"/>
        </w:trPr>
        <w:tc>
          <w:tcPr>
            <w:tcW w:w="96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247" w:lineRule="exact"/>
        <w:rPr>
          <w:sz w:val="20"/>
          <w:szCs w:val="20"/>
          <w:color w:val="auto"/>
        </w:rPr>
      </w:pPr>
    </w:p>
    <w:p>
      <w:pPr>
        <w:jc w:val="both"/>
        <w:ind w:left="73" w:firstLine="405"/>
        <w:spacing w:after="0" w:line="258" w:lineRule="auto"/>
        <w:rPr>
          <w:sz w:val="20"/>
          <w:szCs w:val="20"/>
          <w:color w:val="auto"/>
        </w:rPr>
      </w:pPr>
      <w:r>
        <w:rPr>
          <w:rFonts w:ascii="Times New Roman" w:cs="Times New Roman" w:eastAsia="Times New Roman" w:hAnsi="Times New Roman"/>
          <w:sz w:val="20"/>
          <w:szCs w:val="20"/>
          <w:color w:val="auto"/>
        </w:rPr>
        <w:t>The reconciling items noted above are due to the difference in the method of accounting used in preparing the Form 5500 as compared with the Plan's financial statements. Government reporting rules were used in preparing the Form 5500, whereas the Plan's financial statements have been prepared on the accrual basis of accounting as required by U.S. GAAP. The Code requires participant loans that are in default to be recorded as deemed distributions on the Form 5500, although the Plan still holds the participant loans as note receivables.</w:t>
      </w:r>
    </w:p>
    <w:p>
      <w:pPr>
        <w:spacing w:after="0" w:line="200" w:lineRule="exact"/>
        <w:rPr>
          <w:sz w:val="20"/>
          <w:szCs w:val="20"/>
          <w:color w:val="auto"/>
        </w:rPr>
      </w:pPr>
    </w:p>
    <w:p>
      <w:pPr>
        <w:spacing w:after="0" w:line="225" w:lineRule="exact"/>
        <w:rPr>
          <w:sz w:val="20"/>
          <w:szCs w:val="20"/>
          <w:color w:val="auto"/>
        </w:rPr>
      </w:pPr>
    </w:p>
    <w:p>
      <w:pPr>
        <w:ind w:left="413" w:hanging="413"/>
        <w:spacing w:after="0"/>
        <w:tabs>
          <w:tab w:leader="none" w:pos="413" w:val="left"/>
        </w:tabs>
        <w:numPr>
          <w:ilvl w:val="0"/>
          <w:numId w:val="1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SUBSEQUENT EVENTS</w:t>
      </w:r>
    </w:p>
    <w:p>
      <w:pPr>
        <w:spacing w:after="0" w:line="247" w:lineRule="exact"/>
        <w:rPr>
          <w:sz w:val="20"/>
          <w:szCs w:val="20"/>
          <w:color w:val="auto"/>
        </w:rPr>
      </w:pPr>
    </w:p>
    <w:p>
      <w:pPr>
        <w:ind w:left="73" w:right="20" w:firstLine="405"/>
        <w:spacing w:after="0" w:line="283" w:lineRule="auto"/>
        <w:rPr>
          <w:sz w:val="20"/>
          <w:szCs w:val="20"/>
          <w:color w:val="auto"/>
        </w:rPr>
      </w:pPr>
      <w:r>
        <w:rPr>
          <w:rFonts w:ascii="Times New Roman" w:cs="Times New Roman" w:eastAsia="Times New Roman" w:hAnsi="Times New Roman"/>
          <w:sz w:val="20"/>
          <w:szCs w:val="20"/>
          <w:color w:val="auto"/>
        </w:rPr>
        <w:t>In preparing the accompanying financial statements, management of the Company has evaluated all subsequent events and transactions for potential recognition or disclosure through June 10, 2022, the date financial statements were available for issuance.</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72"/>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313"/>
          </w:cols>
          <w:pgMar w:left="247" w:top="111" w:right="339" w:bottom="1440" w:gutter="0" w:footer="0" w:header="0"/>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SUPPLEMENTAL SCHEDULE</w:t>
      </w:r>
    </w:p>
    <w:p>
      <w:pPr>
        <w:sectPr>
          <w:pgSz w:w="11900" w:h="16838" w:orient="portrait"/>
          <w:cols w:equalWidth="0" w:num="1">
            <w:col w:w="9019"/>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9019"/>
          </w:cols>
          <w:pgMar w:left="1440" w:top="1440" w:right="1440" w:bottom="1440" w:gutter="0" w:footer="0" w:header="0"/>
          <w:type w:val="continuous"/>
        </w:sectPr>
      </w:pPr>
    </w:p>
    <w:bookmarkStart w:id="18" w:name="page19"/>
    <w:bookmarkEnd w:id="18"/>
    <w:p>
      <w:pPr>
        <w:spacing w:after="0"/>
        <w:rPr>
          <w:sz w:val="20"/>
          <w:szCs w:val="20"/>
          <w:color w:val="auto"/>
        </w:rPr>
      </w:pPr>
      <w:r>
        <w:rPr>
          <w:rFonts w:ascii="Times New Roman" w:cs="Times New Roman" w:eastAsia="Times New Roman" w:hAnsi="Times New Roman"/>
          <w:sz w:val="20"/>
          <w:szCs w:val="20"/>
          <w:b w:val="1"/>
          <w:bCs w:val="1"/>
          <w:color w:val="auto"/>
        </w:rPr>
        <w:t>FLOWSERVE CORPORATION</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RETIREMENT SAVINGS PLAN</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I.R.S. Employer Identification Number: 31-0267900</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Plan No. 008</w:t>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FORM 5500, SCHEDULE H, LINE 4i — SCHEDULE OF ASSETS (HELD AT END OF YEAR) AS OF DECEMBER 31, 2021</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80" w:type="dxa"/>
            <w:vAlign w:val="bottom"/>
          </w:tcPr>
          <w:p>
            <w:pPr>
              <w:spacing w:after="0"/>
              <w:rPr>
                <w:sz w:val="22"/>
                <w:szCs w:val="22"/>
                <w:color w:val="auto"/>
              </w:rPr>
            </w:pPr>
          </w:p>
        </w:tc>
        <w:tc>
          <w:tcPr>
            <w:tcW w:w="4420" w:type="dxa"/>
            <w:vAlign w:val="bottom"/>
          </w:tcPr>
          <w:p>
            <w:pPr>
              <w:spacing w:after="0"/>
              <w:rPr>
                <w:sz w:val="22"/>
                <w:szCs w:val="22"/>
                <w:color w:val="auto"/>
              </w:rPr>
            </w:pPr>
          </w:p>
        </w:tc>
        <w:tc>
          <w:tcPr>
            <w:tcW w:w="3720" w:type="dxa"/>
            <w:vAlign w:val="bottom"/>
          </w:tcPr>
          <w:p>
            <w:pPr>
              <w:jc w:val="center"/>
              <w:ind w:left="561"/>
              <w:spacing w:after="0"/>
              <w:rPr>
                <w:sz w:val="20"/>
                <w:szCs w:val="20"/>
                <w:color w:val="auto"/>
              </w:rPr>
            </w:pPr>
            <w:r>
              <w:rPr>
                <w:rFonts w:ascii="Times New Roman" w:cs="Times New Roman" w:eastAsia="Times New Roman" w:hAnsi="Times New Roman"/>
                <w:sz w:val="20"/>
                <w:szCs w:val="20"/>
                <w:b w:val="1"/>
                <w:bCs w:val="1"/>
                <w:color w:val="auto"/>
                <w:w w:val="98"/>
              </w:rPr>
              <w:t>(c)</w:t>
            </w:r>
          </w:p>
        </w:tc>
        <w:tc>
          <w:tcPr>
            <w:tcW w:w="10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257"/>
        </w:trPr>
        <w:tc>
          <w:tcPr>
            <w:tcW w:w="380" w:type="dxa"/>
            <w:vAlign w:val="bottom"/>
          </w:tcPr>
          <w:p>
            <w:pPr>
              <w:spacing w:after="0"/>
              <w:rPr>
                <w:sz w:val="22"/>
                <w:szCs w:val="22"/>
                <w:color w:val="auto"/>
              </w:rPr>
            </w:pPr>
          </w:p>
        </w:tc>
        <w:tc>
          <w:tcPr>
            <w:tcW w:w="4420" w:type="dxa"/>
            <w:vAlign w:val="bottom"/>
          </w:tcPr>
          <w:p>
            <w:pPr>
              <w:spacing w:after="0"/>
              <w:rPr>
                <w:sz w:val="22"/>
                <w:szCs w:val="22"/>
                <w:color w:val="auto"/>
              </w:rPr>
            </w:pPr>
          </w:p>
        </w:tc>
        <w:tc>
          <w:tcPr>
            <w:tcW w:w="3720" w:type="dxa"/>
            <w:vAlign w:val="bottom"/>
          </w:tcPr>
          <w:p>
            <w:pPr>
              <w:jc w:val="center"/>
              <w:ind w:left="541"/>
              <w:spacing w:after="0"/>
              <w:rPr>
                <w:sz w:val="20"/>
                <w:szCs w:val="20"/>
                <w:color w:val="auto"/>
              </w:rPr>
            </w:pPr>
            <w:r>
              <w:rPr>
                <w:rFonts w:ascii="Times New Roman" w:cs="Times New Roman" w:eastAsia="Times New Roman" w:hAnsi="Times New Roman"/>
                <w:sz w:val="20"/>
                <w:szCs w:val="20"/>
                <w:b w:val="1"/>
                <w:bCs w:val="1"/>
                <w:color w:val="auto"/>
                <w:w w:val="99"/>
              </w:rPr>
              <w:t>Description of Investment</w:t>
            </w:r>
          </w:p>
        </w:tc>
        <w:tc>
          <w:tcPr>
            <w:tcW w:w="10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80" w:type="dxa"/>
            <w:vAlign w:val="bottom"/>
          </w:tcPr>
          <w:p>
            <w:pPr>
              <w:spacing w:after="0"/>
              <w:rPr>
                <w:sz w:val="22"/>
                <w:szCs w:val="22"/>
                <w:color w:val="auto"/>
              </w:rPr>
            </w:pPr>
          </w:p>
        </w:tc>
      </w:tr>
      <w:tr>
        <w:trPr>
          <w:trHeight w:val="257"/>
        </w:trPr>
        <w:tc>
          <w:tcPr>
            <w:tcW w:w="380" w:type="dxa"/>
            <w:vAlign w:val="bottom"/>
          </w:tcPr>
          <w:p>
            <w:pPr>
              <w:spacing w:after="0"/>
              <w:rPr>
                <w:sz w:val="22"/>
                <w:szCs w:val="22"/>
                <w:color w:val="auto"/>
              </w:rPr>
            </w:pPr>
          </w:p>
        </w:tc>
        <w:tc>
          <w:tcPr>
            <w:tcW w:w="4420" w:type="dxa"/>
            <w:vAlign w:val="bottom"/>
          </w:tcPr>
          <w:p>
            <w:pPr>
              <w:jc w:val="center"/>
              <w:ind w:left="401"/>
              <w:spacing w:after="0"/>
              <w:rPr>
                <w:sz w:val="20"/>
                <w:szCs w:val="20"/>
                <w:color w:val="auto"/>
              </w:rPr>
            </w:pPr>
            <w:r>
              <w:rPr>
                <w:rFonts w:ascii="Times New Roman" w:cs="Times New Roman" w:eastAsia="Times New Roman" w:hAnsi="Times New Roman"/>
                <w:sz w:val="20"/>
                <w:szCs w:val="20"/>
                <w:b w:val="1"/>
                <w:bCs w:val="1"/>
                <w:color w:val="auto"/>
                <w:w w:val="97"/>
              </w:rPr>
              <w:t>(b)</w:t>
            </w:r>
          </w:p>
        </w:tc>
        <w:tc>
          <w:tcPr>
            <w:tcW w:w="3720" w:type="dxa"/>
            <w:vAlign w:val="bottom"/>
          </w:tcPr>
          <w:p>
            <w:pPr>
              <w:jc w:val="center"/>
              <w:ind w:left="541"/>
              <w:spacing w:after="0"/>
              <w:rPr>
                <w:sz w:val="20"/>
                <w:szCs w:val="20"/>
                <w:color w:val="auto"/>
              </w:rPr>
            </w:pPr>
            <w:r>
              <w:rPr>
                <w:rFonts w:ascii="Times New Roman" w:cs="Times New Roman" w:eastAsia="Times New Roman" w:hAnsi="Times New Roman"/>
                <w:sz w:val="20"/>
                <w:szCs w:val="20"/>
                <w:b w:val="1"/>
                <w:bCs w:val="1"/>
                <w:color w:val="auto"/>
                <w:w w:val="98"/>
              </w:rPr>
              <w:t>Including Maturity Date,</w:t>
            </w:r>
          </w:p>
        </w:tc>
        <w:tc>
          <w:tcPr>
            <w:tcW w:w="10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380" w:type="dxa"/>
            <w:vAlign w:val="bottom"/>
          </w:tcPr>
          <w:p>
            <w:pPr>
              <w:jc w:val="center"/>
              <w:ind w:right="181"/>
              <w:spacing w:after="0"/>
              <w:rPr>
                <w:sz w:val="20"/>
                <w:szCs w:val="20"/>
                <w:color w:val="auto"/>
              </w:rPr>
            </w:pPr>
            <w:r>
              <w:rPr>
                <w:rFonts w:ascii="Times New Roman" w:cs="Times New Roman" w:eastAsia="Times New Roman" w:hAnsi="Times New Roman"/>
                <w:sz w:val="20"/>
                <w:szCs w:val="20"/>
                <w:b w:val="1"/>
                <w:bCs w:val="1"/>
                <w:color w:val="auto"/>
                <w:w w:val="98"/>
              </w:rPr>
              <w:t>(e)</w:t>
            </w:r>
          </w:p>
        </w:tc>
      </w:tr>
      <w:tr>
        <w:trPr>
          <w:trHeight w:val="256"/>
        </w:trPr>
        <w:tc>
          <w:tcPr>
            <w:tcW w:w="380" w:type="dxa"/>
            <w:vAlign w:val="bottom"/>
          </w:tcPr>
          <w:p>
            <w:pPr>
              <w:spacing w:after="0"/>
              <w:rPr>
                <w:sz w:val="22"/>
                <w:szCs w:val="22"/>
                <w:color w:val="auto"/>
              </w:rPr>
            </w:pPr>
          </w:p>
        </w:tc>
        <w:tc>
          <w:tcPr>
            <w:tcW w:w="4420" w:type="dxa"/>
            <w:vAlign w:val="bottom"/>
          </w:tcPr>
          <w:p>
            <w:pPr>
              <w:jc w:val="center"/>
              <w:ind w:left="401"/>
              <w:spacing w:after="0"/>
              <w:rPr>
                <w:sz w:val="20"/>
                <w:szCs w:val="20"/>
                <w:color w:val="auto"/>
              </w:rPr>
            </w:pPr>
            <w:r>
              <w:rPr>
                <w:rFonts w:ascii="Times New Roman" w:cs="Times New Roman" w:eastAsia="Times New Roman" w:hAnsi="Times New Roman"/>
                <w:sz w:val="20"/>
                <w:szCs w:val="20"/>
                <w:b w:val="1"/>
                <w:bCs w:val="1"/>
                <w:color w:val="auto"/>
                <w:w w:val="98"/>
              </w:rPr>
              <w:t>Identity of Issue, Borrower,</w:t>
            </w:r>
          </w:p>
        </w:tc>
        <w:tc>
          <w:tcPr>
            <w:tcW w:w="3720" w:type="dxa"/>
            <w:vAlign w:val="bottom"/>
          </w:tcPr>
          <w:p>
            <w:pPr>
              <w:jc w:val="center"/>
              <w:ind w:left="541"/>
              <w:spacing w:after="0"/>
              <w:rPr>
                <w:sz w:val="20"/>
                <w:szCs w:val="20"/>
                <w:color w:val="auto"/>
              </w:rPr>
            </w:pPr>
            <w:r>
              <w:rPr>
                <w:rFonts w:ascii="Times New Roman" w:cs="Times New Roman" w:eastAsia="Times New Roman" w:hAnsi="Times New Roman"/>
                <w:sz w:val="20"/>
                <w:szCs w:val="20"/>
                <w:b w:val="1"/>
                <w:bCs w:val="1"/>
                <w:color w:val="auto"/>
                <w:w w:val="99"/>
              </w:rPr>
              <w:t>Rate of Interest, Collateral,</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b w:val="1"/>
                <w:bCs w:val="1"/>
                <w:color w:val="auto"/>
                <w:w w:val="97"/>
              </w:rPr>
              <w:t>(d)</w:t>
            </w:r>
          </w:p>
        </w:tc>
        <w:tc>
          <w:tcPr>
            <w:tcW w:w="300" w:type="dxa"/>
            <w:vAlign w:val="bottom"/>
          </w:tcPr>
          <w:p>
            <w:pPr>
              <w:spacing w:after="0"/>
              <w:rPr>
                <w:sz w:val="22"/>
                <w:szCs w:val="22"/>
                <w:color w:val="auto"/>
              </w:rPr>
            </w:pPr>
          </w:p>
        </w:tc>
        <w:tc>
          <w:tcPr>
            <w:tcW w:w="1380" w:type="dxa"/>
            <w:vAlign w:val="bottom"/>
          </w:tcPr>
          <w:p>
            <w:pPr>
              <w:jc w:val="center"/>
              <w:ind w:right="201"/>
              <w:spacing w:after="0"/>
              <w:rPr>
                <w:sz w:val="20"/>
                <w:szCs w:val="20"/>
                <w:color w:val="auto"/>
              </w:rPr>
            </w:pPr>
            <w:r>
              <w:rPr>
                <w:rFonts w:ascii="Times New Roman" w:cs="Times New Roman" w:eastAsia="Times New Roman" w:hAnsi="Times New Roman"/>
                <w:sz w:val="20"/>
                <w:szCs w:val="20"/>
                <w:b w:val="1"/>
                <w:bCs w:val="1"/>
                <w:color w:val="auto"/>
                <w:w w:val="97"/>
              </w:rPr>
              <w:t>Current</w:t>
            </w:r>
          </w:p>
        </w:tc>
      </w:tr>
      <w:tr>
        <w:trPr>
          <w:trHeight w:val="266"/>
        </w:trPr>
        <w:tc>
          <w:tcPr>
            <w:tcW w:w="3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(a)</w:t>
            </w:r>
          </w:p>
        </w:tc>
        <w:tc>
          <w:tcPr>
            <w:tcW w:w="4420" w:type="dxa"/>
            <w:vAlign w:val="bottom"/>
            <w:tcBorders>
              <w:bottom w:val="single" w:sz="8" w:color="auto"/>
            </w:tcBorders>
          </w:tcPr>
          <w:p>
            <w:pPr>
              <w:jc w:val="center"/>
              <w:ind w:left="401"/>
              <w:spacing w:after="0"/>
              <w:rPr>
                <w:sz w:val="20"/>
                <w:szCs w:val="20"/>
                <w:color w:val="auto"/>
              </w:rPr>
            </w:pPr>
            <w:r>
              <w:rPr>
                <w:rFonts w:ascii="Times New Roman" w:cs="Times New Roman" w:eastAsia="Times New Roman" w:hAnsi="Times New Roman"/>
                <w:sz w:val="20"/>
                <w:szCs w:val="20"/>
                <w:b w:val="1"/>
                <w:bCs w:val="1"/>
                <w:color w:val="auto"/>
                <w:w w:val="99"/>
              </w:rPr>
              <w:t>Lessor or Similar Party</w:t>
            </w:r>
          </w:p>
        </w:tc>
        <w:tc>
          <w:tcPr>
            <w:tcW w:w="3720" w:type="dxa"/>
            <w:vAlign w:val="bottom"/>
            <w:tcBorders>
              <w:bottom w:val="single" w:sz="8" w:color="auto"/>
            </w:tcBorders>
          </w:tcPr>
          <w:p>
            <w:pPr>
              <w:jc w:val="center"/>
              <w:ind w:left="541"/>
              <w:spacing w:after="0"/>
              <w:rPr>
                <w:sz w:val="20"/>
                <w:szCs w:val="20"/>
                <w:color w:val="auto"/>
              </w:rPr>
            </w:pPr>
            <w:r>
              <w:rPr>
                <w:rFonts w:ascii="Times New Roman" w:cs="Times New Roman" w:eastAsia="Times New Roman" w:hAnsi="Times New Roman"/>
                <w:sz w:val="20"/>
                <w:szCs w:val="20"/>
                <w:b w:val="1"/>
                <w:bCs w:val="1"/>
                <w:color w:val="auto"/>
                <w:w w:val="97"/>
              </w:rPr>
              <w:t>Par, or Maturity Value</w:t>
            </w:r>
          </w:p>
        </w:tc>
        <w:tc>
          <w:tcPr>
            <w:tcW w:w="1000" w:type="dxa"/>
            <w:vAlign w:val="bottom"/>
            <w:tcBorders>
              <w:bottom w:val="single" w:sz="8" w:color="auto"/>
            </w:tcBorders>
          </w:tcPr>
          <w:p>
            <w:pPr>
              <w:jc w:val="center"/>
              <w:ind w:left="81"/>
              <w:spacing w:after="0"/>
              <w:rPr>
                <w:sz w:val="20"/>
                <w:szCs w:val="20"/>
                <w:color w:val="auto"/>
              </w:rPr>
            </w:pPr>
            <w:r>
              <w:rPr>
                <w:rFonts w:ascii="Times New Roman" w:cs="Times New Roman" w:eastAsia="Times New Roman" w:hAnsi="Times New Roman"/>
                <w:sz w:val="20"/>
                <w:szCs w:val="20"/>
                <w:b w:val="1"/>
                <w:bCs w:val="1"/>
                <w:color w:val="auto"/>
                <w:w w:val="97"/>
              </w:rPr>
              <w:t>Cost</w:t>
            </w:r>
          </w:p>
        </w:tc>
        <w:tc>
          <w:tcPr>
            <w:tcW w:w="30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jc w:val="center"/>
              <w:ind w:right="201"/>
              <w:spacing w:after="0"/>
              <w:rPr>
                <w:sz w:val="20"/>
                <w:szCs w:val="20"/>
                <w:color w:val="auto"/>
              </w:rPr>
            </w:pPr>
            <w:r>
              <w:rPr>
                <w:rFonts w:ascii="Times New Roman" w:cs="Times New Roman" w:eastAsia="Times New Roman" w:hAnsi="Times New Roman"/>
                <w:sz w:val="20"/>
                <w:szCs w:val="20"/>
                <w:b w:val="1"/>
                <w:bCs w:val="1"/>
                <w:color w:val="auto"/>
                <w:w w:val="95"/>
              </w:rPr>
              <w:t>Value</w:t>
            </w:r>
          </w:p>
        </w:tc>
      </w:tr>
      <w:tr>
        <w:trPr>
          <w:trHeight w:val="254"/>
        </w:trPr>
        <w:tc>
          <w:tcPr>
            <w:tcW w:w="380" w:type="dxa"/>
            <w:vAlign w:val="bottom"/>
            <w:shd w:val="clear" w:color="auto" w:fill="CCEEFF"/>
          </w:tcPr>
          <w:p>
            <w:pPr>
              <w:spacing w:after="0"/>
              <w:rPr>
                <w:sz w:val="22"/>
                <w:szCs w:val="22"/>
                <w:color w:val="auto"/>
              </w:rPr>
            </w:pPr>
          </w:p>
        </w:tc>
        <w:tc>
          <w:tcPr>
            <w:tcW w:w="4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20"/>
                <w:szCs w:val="20"/>
                <w:color w:val="auto"/>
              </w:rPr>
              <w:t>American Funds EuroPacific Growth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21,709,689</w:t>
            </w:r>
          </w:p>
        </w:tc>
      </w:tr>
      <w:tr>
        <w:trPr>
          <w:trHeight w:val="257"/>
        </w:trPr>
        <w:tc>
          <w:tcPr>
            <w:tcW w:w="380" w:type="dxa"/>
            <w:vAlign w:val="bottom"/>
          </w:tcPr>
          <w:p>
            <w:pPr>
              <w:spacing w:after="0"/>
              <w:rPr>
                <w:sz w:val="22"/>
                <w:szCs w:val="22"/>
                <w:color w:val="auto"/>
              </w:rPr>
            </w:pPr>
          </w:p>
        </w:tc>
        <w:tc>
          <w:tcPr>
            <w:tcW w:w="44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Pimco Total Return Institutional</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8,237,531</w:t>
            </w:r>
          </w:p>
        </w:tc>
      </w:tr>
      <w:tr>
        <w:trPr>
          <w:trHeight w:val="257"/>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Mid-Cap Growth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76,435,819</w:t>
            </w:r>
          </w:p>
        </w:tc>
      </w:tr>
      <w:tr>
        <w:trPr>
          <w:trHeight w:val="257"/>
        </w:trPr>
        <w:tc>
          <w:tcPr>
            <w:tcW w:w="380" w:type="dxa"/>
            <w:vAlign w:val="bottom"/>
          </w:tcPr>
          <w:p>
            <w:pPr>
              <w:spacing w:after="0"/>
              <w:rPr>
                <w:sz w:val="22"/>
                <w:szCs w:val="22"/>
                <w:color w:val="auto"/>
              </w:rPr>
            </w:pPr>
          </w:p>
        </w:tc>
        <w:tc>
          <w:tcPr>
            <w:tcW w:w="44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Vanguard Extended Market Index Institutional</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10,743,430</w:t>
            </w:r>
          </w:p>
        </w:tc>
      </w:tr>
      <w:tr>
        <w:trPr>
          <w:trHeight w:val="256"/>
        </w:trPr>
        <w:tc>
          <w:tcPr>
            <w:tcW w:w="380" w:type="dxa"/>
            <w:vAlign w:val="bottom"/>
            <w:shd w:val="clear" w:color="auto" w:fill="CCEEFF"/>
          </w:tcPr>
          <w:p>
            <w:pPr>
              <w:spacing w:after="0"/>
              <w:rPr>
                <w:sz w:val="22"/>
                <w:szCs w:val="22"/>
                <w:color w:val="auto"/>
              </w:rPr>
            </w:pPr>
          </w:p>
        </w:tc>
        <w:tc>
          <w:tcPr>
            <w:tcW w:w="4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20"/>
                <w:szCs w:val="20"/>
                <w:color w:val="auto"/>
              </w:rPr>
              <w:t>Vanguard Institutional Index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99,932,277</w:t>
            </w:r>
          </w:p>
        </w:tc>
      </w:tr>
      <w:tr>
        <w:trPr>
          <w:trHeight w:val="257"/>
        </w:trPr>
        <w:tc>
          <w:tcPr>
            <w:tcW w:w="380" w:type="dxa"/>
            <w:vAlign w:val="bottom"/>
          </w:tcPr>
          <w:p>
            <w:pPr>
              <w:spacing w:after="0"/>
              <w:rPr>
                <w:sz w:val="22"/>
                <w:szCs w:val="22"/>
                <w:color w:val="auto"/>
              </w:rPr>
            </w:pPr>
          </w:p>
        </w:tc>
        <w:tc>
          <w:tcPr>
            <w:tcW w:w="44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Vanguard Total Bond Market Index Fund</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23,396,629</w:t>
            </w:r>
          </w:p>
        </w:tc>
      </w:tr>
      <w:tr>
        <w:trPr>
          <w:trHeight w:val="257"/>
        </w:trPr>
        <w:tc>
          <w:tcPr>
            <w:tcW w:w="380" w:type="dxa"/>
            <w:vAlign w:val="bottom"/>
            <w:shd w:val="clear" w:color="auto" w:fill="CCEEFF"/>
          </w:tcPr>
          <w:p>
            <w:pPr>
              <w:spacing w:after="0"/>
              <w:rPr>
                <w:sz w:val="22"/>
                <w:szCs w:val="22"/>
                <w:color w:val="auto"/>
              </w:rPr>
            </w:pPr>
          </w:p>
        </w:tc>
        <w:tc>
          <w:tcPr>
            <w:tcW w:w="4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20"/>
                <w:szCs w:val="20"/>
                <w:color w:val="auto"/>
              </w:rPr>
              <w:t>Vanguard Total International Stock Index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3,397,147</w:t>
            </w:r>
          </w:p>
        </w:tc>
      </w:tr>
      <w:tr>
        <w:trPr>
          <w:trHeight w:val="257"/>
        </w:trPr>
        <w:tc>
          <w:tcPr>
            <w:tcW w:w="380" w:type="dxa"/>
            <w:vAlign w:val="bottom"/>
          </w:tcPr>
          <w:p>
            <w:pPr>
              <w:spacing w:after="0"/>
              <w:rPr>
                <w:sz w:val="22"/>
                <w:szCs w:val="22"/>
                <w:color w:val="auto"/>
              </w:rPr>
            </w:pPr>
          </w:p>
        </w:tc>
        <w:tc>
          <w:tcPr>
            <w:tcW w:w="44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Vanguard PRIMECAP Fund</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57,060,838</w:t>
            </w:r>
          </w:p>
        </w:tc>
      </w:tr>
      <w:tr>
        <w:trPr>
          <w:trHeight w:val="256"/>
        </w:trPr>
        <w:tc>
          <w:tcPr>
            <w:tcW w:w="380" w:type="dxa"/>
            <w:vAlign w:val="bottom"/>
            <w:shd w:val="clear" w:color="auto" w:fill="CCEEFF"/>
          </w:tcPr>
          <w:p>
            <w:pPr>
              <w:spacing w:after="0"/>
              <w:rPr>
                <w:sz w:val="22"/>
                <w:szCs w:val="22"/>
                <w:color w:val="auto"/>
              </w:rPr>
            </w:pPr>
          </w:p>
        </w:tc>
        <w:tc>
          <w:tcPr>
            <w:tcW w:w="4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20"/>
                <w:szCs w:val="20"/>
                <w:color w:val="auto"/>
              </w:rPr>
              <w:t>Vanguard Wellington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85,613,887</w:t>
            </w:r>
          </w:p>
        </w:tc>
      </w:tr>
      <w:tr>
        <w:trPr>
          <w:trHeight w:val="256"/>
        </w:trPr>
        <w:tc>
          <w:tcPr>
            <w:tcW w:w="380" w:type="dxa"/>
            <w:vAlign w:val="bottom"/>
          </w:tcPr>
          <w:p>
            <w:pPr>
              <w:spacing w:after="0"/>
              <w:rPr>
                <w:sz w:val="22"/>
                <w:szCs w:val="22"/>
                <w:color w:val="auto"/>
              </w:rPr>
            </w:pPr>
          </w:p>
        </w:tc>
        <w:tc>
          <w:tcPr>
            <w:tcW w:w="44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Vanguard Windsor II Fund</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28,807,661</w:t>
            </w:r>
          </w:p>
        </w:tc>
      </w:tr>
      <w:tr>
        <w:trPr>
          <w:trHeight w:val="257"/>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Government Money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Registered investment company</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100,629</w:t>
            </w:r>
          </w:p>
        </w:tc>
      </w:tr>
      <w:tr>
        <w:trPr>
          <w:trHeight w:val="256"/>
        </w:trPr>
        <w:tc>
          <w:tcPr>
            <w:tcW w:w="380" w:type="dxa"/>
            <w:vAlign w:val="bottom"/>
          </w:tcPr>
          <w:p>
            <w:pPr>
              <w:spacing w:after="0"/>
              <w:rPr>
                <w:sz w:val="22"/>
                <w:szCs w:val="22"/>
                <w:color w:val="auto"/>
              </w:rPr>
            </w:pPr>
          </w:p>
        </w:tc>
        <w:tc>
          <w:tcPr>
            <w:tcW w:w="44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Wellington CIF Small Cap Opp. Portfolio</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27,955,667</w:t>
            </w:r>
          </w:p>
        </w:tc>
      </w:tr>
      <w:tr>
        <w:trPr>
          <w:trHeight w:val="257"/>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Stable Value Common Trust Fund</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97,372,718</w:t>
            </w:r>
          </w:p>
        </w:tc>
      </w:tr>
      <w:tr>
        <w:trPr>
          <w:trHeight w:val="257"/>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2005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3,690,545</w:t>
            </w:r>
          </w:p>
        </w:tc>
      </w:tr>
      <w:tr>
        <w:trPr>
          <w:trHeight w:val="256"/>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2010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7,455,364</w:t>
            </w:r>
          </w:p>
        </w:tc>
      </w:tr>
      <w:tr>
        <w:trPr>
          <w:trHeight w:val="257"/>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2015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21,781,389</w:t>
            </w:r>
          </w:p>
        </w:tc>
      </w:tr>
      <w:tr>
        <w:trPr>
          <w:trHeight w:val="256"/>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2020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51,172,089</w:t>
            </w:r>
          </w:p>
        </w:tc>
      </w:tr>
      <w:tr>
        <w:trPr>
          <w:trHeight w:val="257"/>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2025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107,420,056</w:t>
            </w:r>
          </w:p>
        </w:tc>
      </w:tr>
      <w:tr>
        <w:trPr>
          <w:trHeight w:val="256"/>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2030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110,026,160</w:t>
            </w:r>
          </w:p>
        </w:tc>
      </w:tr>
      <w:tr>
        <w:trPr>
          <w:trHeight w:val="257"/>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2035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103,301,924</w:t>
            </w:r>
          </w:p>
        </w:tc>
      </w:tr>
      <w:tr>
        <w:trPr>
          <w:trHeight w:val="256"/>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2040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69,497,996</w:t>
            </w:r>
          </w:p>
        </w:tc>
      </w:tr>
      <w:tr>
        <w:trPr>
          <w:trHeight w:val="257"/>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2045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57,568,111</w:t>
            </w:r>
          </w:p>
        </w:tc>
      </w:tr>
      <w:tr>
        <w:trPr>
          <w:trHeight w:val="257"/>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2050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48,908,142</w:t>
            </w:r>
          </w:p>
        </w:tc>
      </w:tr>
      <w:tr>
        <w:trPr>
          <w:trHeight w:val="256"/>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2055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27,671,945</w:t>
            </w:r>
          </w:p>
        </w:tc>
      </w:tr>
      <w:tr>
        <w:trPr>
          <w:trHeight w:val="257"/>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2060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7,234,497</w:t>
            </w:r>
          </w:p>
        </w:tc>
      </w:tr>
      <w:tr>
        <w:trPr>
          <w:trHeight w:val="256"/>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2065 Trust</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224,868</w:t>
            </w:r>
          </w:p>
        </w:tc>
      </w:tr>
      <w:tr>
        <w:trPr>
          <w:trHeight w:val="257"/>
        </w:trPr>
        <w:tc>
          <w:tcPr>
            <w:tcW w:w="480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 Rowe Price Retirement Income Trust</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Common and collective trust</w:t>
            </w:r>
          </w:p>
        </w:tc>
        <w:tc>
          <w:tcPr>
            <w:tcW w:w="1000" w:type="dxa"/>
            <w:vAlign w:val="bottom"/>
            <w:shd w:val="clear" w:color="auto" w:fill="CCEEFF"/>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shd w:val="clear" w:color="auto" w:fill="CCEEFF"/>
          </w:tcPr>
          <w:p>
            <w:pPr>
              <w:spacing w:after="0"/>
              <w:rPr>
                <w:sz w:val="22"/>
                <w:szCs w:val="22"/>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6,338,471</w:t>
            </w:r>
          </w:p>
        </w:tc>
      </w:tr>
      <w:tr>
        <w:trPr>
          <w:trHeight w:val="256"/>
        </w:trPr>
        <w:tc>
          <w:tcPr>
            <w:tcW w:w="48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Flowserve Corporation common stock</w:t>
            </w:r>
          </w:p>
        </w:tc>
        <w:tc>
          <w:tcPr>
            <w:tcW w:w="3720" w:type="dxa"/>
            <w:vAlign w:val="bottom"/>
          </w:tcPr>
          <w:p>
            <w:pPr>
              <w:ind w:left="500"/>
              <w:spacing w:after="0"/>
              <w:rPr>
                <w:sz w:val="20"/>
                <w:szCs w:val="20"/>
                <w:color w:val="auto"/>
              </w:rPr>
            </w:pPr>
            <w:r>
              <w:rPr>
                <w:rFonts w:ascii="Times New Roman" w:cs="Times New Roman" w:eastAsia="Times New Roman" w:hAnsi="Times New Roman"/>
                <w:sz w:val="20"/>
                <w:szCs w:val="20"/>
                <w:color w:val="auto"/>
              </w:rPr>
              <w:t>Common stock, 517,787 shares</w:t>
            </w:r>
          </w:p>
        </w:tc>
        <w:tc>
          <w:tcPr>
            <w:tcW w:w="1000" w:type="dxa"/>
            <w:vAlign w:val="bottom"/>
          </w:tcPr>
          <w:p>
            <w:pPr>
              <w:jc w:val="center"/>
              <w:ind w:left="61"/>
              <w:spacing w:after="0"/>
              <w:rPr>
                <w:sz w:val="20"/>
                <w:szCs w:val="20"/>
                <w:color w:val="auto"/>
              </w:rPr>
            </w:pPr>
            <w:r>
              <w:rPr>
                <w:rFonts w:ascii="Times New Roman" w:cs="Times New Roman" w:eastAsia="Times New Roman" w:hAnsi="Times New Roman"/>
                <w:sz w:val="20"/>
                <w:szCs w:val="20"/>
                <w:color w:val="auto"/>
                <w:w w:val="99"/>
              </w:rPr>
              <w:t>**</w:t>
            </w:r>
          </w:p>
        </w:tc>
        <w:tc>
          <w:tcPr>
            <w:tcW w:w="300" w:type="dxa"/>
            <w:vAlign w:val="bottom"/>
          </w:tcPr>
          <w:p>
            <w:pPr>
              <w:spacing w:after="0"/>
              <w:rPr>
                <w:sz w:val="22"/>
                <w:szCs w:val="22"/>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15,844,273</w:t>
            </w:r>
          </w:p>
        </w:tc>
      </w:tr>
      <w:tr>
        <w:trPr>
          <w:trHeight w:val="256"/>
        </w:trPr>
        <w:tc>
          <w:tcPr>
            <w:tcW w:w="38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20"/>
                <w:szCs w:val="20"/>
                <w:b w:val="1"/>
                <w:bCs w:val="1"/>
                <w:color w:val="auto"/>
              </w:rPr>
              <w:t>*</w:t>
            </w:r>
          </w:p>
        </w:tc>
        <w:tc>
          <w:tcPr>
            <w:tcW w:w="4420" w:type="dxa"/>
            <w:vAlign w:val="bottom"/>
            <w:shd w:val="clear" w:color="auto" w:fill="CCEEFF"/>
          </w:tcPr>
          <w:p>
            <w:pPr>
              <w:ind w:left="60"/>
              <w:spacing w:after="0"/>
              <w:rPr>
                <w:sz w:val="20"/>
                <w:szCs w:val="20"/>
                <w:color w:val="auto"/>
              </w:rPr>
            </w:pPr>
            <w:r>
              <w:rPr>
                <w:rFonts w:ascii="Times New Roman" w:cs="Times New Roman" w:eastAsia="Times New Roman" w:hAnsi="Times New Roman"/>
                <w:sz w:val="20"/>
                <w:szCs w:val="20"/>
                <w:color w:val="auto"/>
              </w:rPr>
              <w:t>Participant loans</w:t>
            </w:r>
          </w:p>
        </w:tc>
        <w:tc>
          <w:tcPr>
            <w:tcW w:w="372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20"/>
                <w:szCs w:val="20"/>
                <w:color w:val="auto"/>
              </w:rPr>
              <w:t>4.25% - 9.25% due through 2036</w:t>
            </w:r>
          </w:p>
        </w:tc>
        <w:tc>
          <w:tcPr>
            <w:tcW w:w="1000" w:type="dxa"/>
            <w:vAlign w:val="bottom"/>
            <w:shd w:val="clear" w:color="auto" w:fill="CCEEFF"/>
          </w:tcPr>
          <w:p>
            <w:pPr>
              <w:jc w:val="center"/>
              <w:ind w:left="81"/>
              <w:spacing w:after="0"/>
              <w:rPr>
                <w:sz w:val="20"/>
                <w:szCs w:val="20"/>
                <w:color w:val="auto"/>
              </w:rPr>
            </w:pPr>
            <w:r>
              <w:rPr>
                <w:rFonts w:ascii="Times New Roman" w:cs="Times New Roman" w:eastAsia="Times New Roman" w:hAnsi="Times New Roman"/>
                <w:sz w:val="20"/>
                <w:szCs w:val="20"/>
                <w:color w:val="auto"/>
                <w:w w:val="94"/>
              </w:rPr>
              <w:t>-0-</w:t>
            </w:r>
          </w:p>
        </w:tc>
        <w:tc>
          <w:tcPr>
            <w:tcW w:w="300" w:type="dxa"/>
            <w:vAlign w:val="bottom"/>
            <w:tcBorders>
              <w:bottom w:val="single" w:sz="8" w:color="auto"/>
            </w:tcBorders>
            <w:shd w:val="clear" w:color="auto" w:fill="CCEEFF"/>
          </w:tcPr>
          <w:p>
            <w:pPr>
              <w:spacing w:after="0"/>
              <w:rPr>
                <w:sz w:val="22"/>
                <w:szCs w:val="22"/>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20"/>
                <w:szCs w:val="20"/>
                <w:color w:val="auto"/>
              </w:rPr>
              <w:t>16,712,269</w:t>
            </w:r>
          </w:p>
        </w:tc>
      </w:tr>
      <w:tr>
        <w:trPr>
          <w:trHeight w:val="250"/>
        </w:trPr>
        <w:tc>
          <w:tcPr>
            <w:tcW w:w="480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Total assets held for investment purposes</w:t>
            </w:r>
          </w:p>
        </w:tc>
        <w:tc>
          <w:tcPr>
            <w:tcW w:w="37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tcBorders>
              <w:bottom w:val="single" w:sz="8" w:color="auto"/>
            </w:tcBorders>
          </w:tcPr>
          <w:p>
            <w:pPr>
              <w:jc w:val="right"/>
              <w:ind w:right="81"/>
              <w:spacing w:after="0"/>
              <w:rPr>
                <w:sz w:val="20"/>
                <w:szCs w:val="20"/>
                <w:color w:val="auto"/>
              </w:rPr>
            </w:pPr>
            <w:r>
              <w:rPr>
                <w:rFonts w:ascii="Times New Roman" w:cs="Times New Roman" w:eastAsia="Times New Roman" w:hAnsi="Times New Roman"/>
                <w:sz w:val="20"/>
                <w:szCs w:val="20"/>
                <w:color w:val="auto"/>
                <w:w w:val="99"/>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1,195,612,021</w:t>
            </w:r>
          </w:p>
        </w:tc>
      </w:tr>
      <w:tr>
        <w:trPr>
          <w:trHeight w:val="20"/>
        </w:trPr>
        <w:tc>
          <w:tcPr>
            <w:tcW w:w="38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r>
    </w:tbl>
    <w:p>
      <w:pPr>
        <w:spacing w:after="0" w:line="63" w:lineRule="exact"/>
        <w:rPr>
          <w:sz w:val="20"/>
          <w:szCs w:val="20"/>
          <w:color w:val="auto"/>
        </w:rPr>
      </w:pPr>
    </w:p>
    <w:p>
      <w:pPr>
        <w:ind w:left="440" w:right="6280" w:hanging="9"/>
        <w:spacing w:after="0" w:line="297" w:lineRule="auto"/>
        <w:tabs>
          <w:tab w:leader="none" w:pos="575"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Denotes a party-in-interest to the Plan as defined by ERISA. ** Cost omitted for participant-directed investments.</w:t>
      </w:r>
    </w:p>
    <w:p>
      <w:pPr>
        <w:sectPr>
          <w:pgSz w:w="11900" w:h="16838" w:orient="portrait"/>
          <w:cols w:equalWidth="0" w:num="1">
            <w:col w:w="11200"/>
          </w:cols>
          <w:pgMar w:left="320" w:top="1341" w:right="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12</w:t>
      </w:r>
    </w:p>
    <w:sectPr>
      <w:pgSz w:w="11900" w:h="16838" w:orient="portrait"/>
      <w:cols w:equalWidth="0" w:num="1">
        <w:col w:w="11200"/>
      </w:cols>
      <w:pgMar w:left="320" w:top="1341" w:right="3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o"/>
      <w:numFmt w:val="bullet"/>
      <w:start w:val="1"/>
    </w:lvl>
  </w:abstractNum>
  <w:abstractNum w:abstractNumId="2">
    <w:nsid w:val="7545E146"/>
    <w:multiLevelType w:val="hybridMultilevel"/>
    <w:lvl w:ilvl="0">
      <w:lvlJc w:val="left"/>
      <w:lvlText w:val="%1."/>
      <w:numFmt w:val="upperLetter"/>
      <w:start w:val="1"/>
    </w:lvl>
  </w:abstractNum>
  <w:abstractNum w:abstractNumId="3">
    <w:nsid w:val="515F007C"/>
    <w:multiLevelType w:val="hybridMultilevel"/>
    <w:lvl w:ilvl="0">
      <w:lvlJc w:val="left"/>
      <w:lvlText w:val="%1."/>
      <w:numFmt w:val="upperLetter"/>
      <w:start w:val="2"/>
    </w:lvl>
  </w:abstractNum>
  <w:abstractNum w:abstractNumId="4">
    <w:nsid w:val="5BD062C2"/>
    <w:multiLevelType w:val="hybridMultilevel"/>
    <w:lvl w:ilvl="0">
      <w:lvlJc w:val="left"/>
      <w:lvlText w:val="(%1)"/>
      <w:numFmt w:val="lowerLetter"/>
      <w:start w:val="1"/>
    </w:lvl>
  </w:abstractNum>
  <w:abstractNum w:abstractNumId="5">
    <w:nsid w:val="12200854"/>
    <w:multiLevelType w:val="hybridMultilevel"/>
    <w:lvl w:ilvl="0">
      <w:lvlJc w:val="left"/>
      <w:lvlText w:val="•"/>
      <w:numFmt w:val="bullet"/>
      <w:start w:val="1"/>
    </w:lvl>
  </w:abstractNum>
  <w:abstractNum w:abstractNumId="6">
    <w:nsid w:val="4DB127F8"/>
    <w:multiLevelType w:val="hybridMultilevel"/>
    <w:lvl w:ilvl="0">
      <w:lvlJc w:val="left"/>
      <w:lvlText w:val="•"/>
      <w:numFmt w:val="bullet"/>
      <w:start w:val="1"/>
    </w:lvl>
  </w:abstractNum>
  <w:abstractNum w:abstractNumId="7">
    <w:nsid w:val="216231B"/>
    <w:multiLevelType w:val="hybridMultilevel"/>
    <w:lvl w:ilvl="0">
      <w:lvlJc w:val="left"/>
      <w:lvlText w:val="%1."/>
      <w:numFmt w:val="decimal"/>
      <w:start w:val="2"/>
    </w:lvl>
  </w:abstractNum>
  <w:abstractNum w:abstractNumId="8">
    <w:nsid w:val="1F16E9E8"/>
    <w:multiLevelType w:val="hybridMultilevel"/>
    <w:lvl w:ilvl="0">
      <w:lvlJc w:val="left"/>
      <w:lvlText w:val="•"/>
      <w:numFmt w:val="bullet"/>
      <w:start w:val="1"/>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decimal"/>
      <w:start w:val="7"/>
    </w:lvl>
  </w:abstractNum>
  <w:abstractNum w:abstractNumId="11">
    <w:nsid w:val="140E0F76"/>
    <w:multiLevelType w:val="hybridMultilevel"/>
    <w:lvl w:ilvl="0">
      <w:lvlJc w:val="left"/>
      <w:lvlText w:val="%1."/>
      <w:numFmt w:val="decimal"/>
      <w:start w:val="8"/>
    </w:lvl>
  </w:abstractNum>
  <w:abstractNum w:abstractNumId="12">
    <w:nsid w:val="335225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2022-06-10T12:02:47Z</dcterms:created>
  <dcterms:modified xsi:type="dcterms:W3CDTF">2022-06-10T12:02:47Z</dcterms:modified>
</cp:coreProperties>
</file>