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725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725035"/>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MILLS RICK J</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5215 N O'CONNOR BLVD. STE. 2300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FLOWSERVE CORP</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FLS</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290"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03/05/2018</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8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3"/>
        <w:spacing w:after="0"/>
        <w:tabs>
          <w:tab w:leader="none" w:pos="522" w:val="left"/>
          <w:tab w:leader="none" w:pos="2162"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ind w:right="400"/>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3"/>
        <w:spacing w:after="0"/>
        <w:tabs>
          <w:tab w:leader="none" w:pos="2162"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407" w:lineRule="exact"/>
        <w:rPr>
          <w:sz w:val="24"/>
          <w:szCs w:val="24"/>
          <w:color w:val="auto"/>
        </w:rPr>
      </w:pPr>
    </w:p>
    <w:p>
      <w:pPr>
        <w:sectPr>
          <w:pgSz w:w="11900" w:h="16838" w:orient="portrait"/>
          <w:cols w:equalWidth="0" w:num="3">
            <w:col w:w="3360" w:space="720"/>
            <w:col w:w="3257" w:space="720"/>
            <w:col w:w="3423"/>
          </w:cols>
          <w:pgMar w:left="240" w:top="226" w:right="179" w:bottom="1440" w:gutter="0" w:footer="0" w:header="0"/>
          <w:type w:val="continuous"/>
        </w:sectPr>
      </w:pPr>
    </w:p>
    <w:p>
      <w:pPr>
        <w:spacing w:after="0" w:line="255"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98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8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940" w:type="dxa"/>
            <w:vAlign w:val="bottom"/>
          </w:tcPr>
          <w:p>
            <w:pPr>
              <w:spacing w:after="0"/>
              <w:rPr>
                <w:sz w:val="20"/>
                <w:szCs w:val="20"/>
                <w:color w:val="auto"/>
              </w:rPr>
            </w:pPr>
            <w:r>
              <w:rPr>
                <w:rFonts w:ascii="Arial" w:cs="Arial" w:eastAsia="Arial" w:hAnsi="Arial"/>
                <w:sz w:val="18"/>
                <w:szCs w:val="18"/>
                <w:color w:val="0000FF"/>
              </w:rPr>
              <w:t>IRVING</w:t>
            </w:r>
          </w:p>
        </w:tc>
        <w:tc>
          <w:tcPr>
            <w:tcW w:w="1180" w:type="dxa"/>
            <w:vAlign w:val="bottom"/>
          </w:tcPr>
          <w:p>
            <w:pPr>
              <w:ind w:left="340"/>
              <w:spacing w:after="0"/>
              <w:rPr>
                <w:sz w:val="20"/>
                <w:szCs w:val="20"/>
                <w:color w:val="auto"/>
              </w:rPr>
            </w:pPr>
            <w:r>
              <w:rPr>
                <w:rFonts w:ascii="Arial" w:cs="Arial" w:eastAsia="Arial" w:hAnsi="Arial"/>
                <w:sz w:val="18"/>
                <w:szCs w:val="18"/>
                <w:color w:val="0000FF"/>
              </w:rPr>
              <w:t>TX</w:t>
            </w:r>
          </w:p>
        </w:tc>
        <w:tc>
          <w:tcPr>
            <w:tcW w:w="1680" w:type="dxa"/>
            <w:vAlign w:val="bottom"/>
          </w:tcPr>
          <w:p>
            <w:pPr>
              <w:ind w:left="420"/>
              <w:spacing w:after="0"/>
              <w:rPr>
                <w:sz w:val="20"/>
                <w:szCs w:val="20"/>
                <w:color w:val="auto"/>
              </w:rPr>
            </w:pPr>
            <w:r>
              <w:rPr>
                <w:rFonts w:ascii="Arial" w:cs="Arial" w:eastAsia="Arial" w:hAnsi="Arial"/>
                <w:sz w:val="18"/>
                <w:szCs w:val="18"/>
                <w:color w:val="0000FF"/>
              </w:rPr>
              <w:t>75039</w:t>
            </w:r>
          </w:p>
        </w:tc>
      </w:tr>
      <w:tr>
        <w:trPr>
          <w:trHeight w:val="158"/>
        </w:trPr>
        <w:tc>
          <w:tcPr>
            <w:tcW w:w="40" w:type="dxa"/>
            <w:vAlign w:val="bottom"/>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18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940" w:type="dxa"/>
            <w:vAlign w:val="bottom"/>
          </w:tcPr>
          <w:p>
            <w:pPr>
              <w:spacing w:after="0"/>
              <w:rPr>
                <w:sz w:val="20"/>
                <w:szCs w:val="20"/>
                <w:color w:val="auto"/>
              </w:rPr>
            </w:pPr>
            <w:r>
              <w:rPr>
                <w:rFonts w:ascii="Arial" w:cs="Arial" w:eastAsia="Arial" w:hAnsi="Arial"/>
                <w:sz w:val="14"/>
                <w:szCs w:val="14"/>
                <w:color w:val="auto"/>
              </w:rPr>
              <w:t>(City)</w:t>
            </w:r>
          </w:p>
        </w:tc>
        <w:tc>
          <w:tcPr>
            <w:tcW w:w="1180" w:type="dxa"/>
            <w:vAlign w:val="bottom"/>
          </w:tcPr>
          <w:p>
            <w:pPr>
              <w:ind w:left="34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4"/>
          <w:szCs w:val="14"/>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980"/>
        <w:spacing w:after="0"/>
        <w:rPr>
          <w:sz w:val="20"/>
          <w:szCs w:val="20"/>
          <w:color w:val="auto"/>
        </w:rPr>
      </w:pPr>
      <w:r>
        <w:rPr>
          <w:rFonts w:ascii="Arial" w:cs="Arial" w:eastAsia="Arial" w:hAnsi="Arial"/>
          <w:sz w:val="14"/>
          <w:szCs w:val="14"/>
          <w:color w:val="auto"/>
        </w:rPr>
        <w:t>Line)</w:t>
      </w:r>
    </w:p>
    <w:p>
      <w:pPr>
        <w:ind w:left="4180"/>
        <w:spacing w:after="0" w:line="211" w:lineRule="auto"/>
        <w:tabs>
          <w:tab w:leader="none" w:pos="45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540"/>
        <w:spacing w:after="0"/>
        <w:rPr>
          <w:sz w:val="20"/>
          <w:szCs w:val="20"/>
          <w:color w:val="auto"/>
        </w:rPr>
      </w:pPr>
      <w:r>
        <w:rPr>
          <w:rFonts w:ascii="Arial" w:cs="Arial" w:eastAsia="Arial" w:hAnsi="Arial"/>
          <w:sz w:val="14"/>
          <w:szCs w:val="14"/>
          <w:color w:val="auto"/>
        </w:rPr>
        <w:t>Form filed by More than One Reporting</w:t>
      </w:r>
    </w:p>
    <w:p>
      <w:pPr>
        <w:ind w:left="4540"/>
        <w:spacing w:after="0"/>
        <w:rPr>
          <w:sz w:val="20"/>
          <w:szCs w:val="20"/>
          <w:color w:val="auto"/>
        </w:rPr>
      </w:pPr>
      <w:r>
        <w:rPr>
          <w:rFonts w:ascii="Arial" w:cs="Arial" w:eastAsia="Arial" w:hAnsi="Arial"/>
          <w:sz w:val="14"/>
          <w:szCs w:val="14"/>
          <w:color w:val="auto"/>
        </w:rPr>
        <w:t>Person</w:t>
      </w:r>
    </w:p>
    <w:p>
      <w:pPr>
        <w:spacing w:after="0" w:line="388" w:lineRule="exact"/>
        <w:rPr>
          <w:sz w:val="24"/>
          <w:szCs w:val="24"/>
          <w:color w:val="auto"/>
        </w:rPr>
      </w:pPr>
    </w:p>
    <w:p>
      <w:pPr>
        <w:sectPr>
          <w:pgSz w:w="11900" w:h="16838" w:orient="portrait"/>
          <w:cols w:equalWidth="0" w:num="2">
            <w:col w:w="3920" w:space="160"/>
            <w:col w:w="7400"/>
          </w:cols>
          <w:pgMar w:left="240" w:top="226" w:right="179" w:bottom="1440" w:gutter="0" w:footer="0" w:header="0"/>
          <w:type w:val="continuous"/>
        </w:sectPr>
      </w:pPr>
    </w:p>
    <w:p>
      <w:pPr>
        <w:jc w:val="center"/>
        <w:ind w:right="6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0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80" w:type="dxa"/>
            <w:vAlign w:val="bottom"/>
          </w:tcPr>
          <w:p>
            <w:pPr>
              <w:ind w:left="82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8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40" w:type="dxa"/>
            <w:vAlign w:val="bottom"/>
          </w:tcPr>
          <w:p>
            <w:pPr>
              <w:ind w:left="10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1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 Direct</w:t>
            </w:r>
          </w:p>
        </w:tc>
        <w:tc>
          <w:tcPr>
            <w:tcW w:w="8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5)</w:t>
            </w: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 or Indirect</w:t>
            </w:r>
          </w:p>
        </w:tc>
        <w:tc>
          <w:tcPr>
            <w:tcW w:w="8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 (Instr. 4)</w:t>
            </w:r>
          </w:p>
        </w:tc>
        <w:tc>
          <w:tcPr>
            <w:tcW w:w="8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2600" w:type="dxa"/>
            <w:vAlign w:val="bottom"/>
          </w:tcPr>
          <w:p>
            <w:pPr>
              <w:spacing w:after="0"/>
              <w:rPr>
                <w:sz w:val="6"/>
                <w:szCs w:val="6"/>
                <w:color w:val="auto"/>
              </w:rPr>
            </w:pPr>
          </w:p>
        </w:tc>
        <w:tc>
          <w:tcPr>
            <w:tcW w:w="188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8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840" w:type="dxa"/>
            <w:vAlign w:val="bottom"/>
            <w:vMerge w:val="restart"/>
          </w:tcPr>
          <w:p>
            <w:pPr>
              <w:ind w:left="10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600" w:type="dxa"/>
            <w:vAlign w:val="bottom"/>
          </w:tcPr>
          <w:p>
            <w:pPr>
              <w:spacing w:after="0"/>
              <w:rPr>
                <w:sz w:val="3"/>
                <w:szCs w:val="3"/>
                <w:color w:val="auto"/>
              </w:rPr>
            </w:pPr>
          </w:p>
        </w:tc>
        <w:tc>
          <w:tcPr>
            <w:tcW w:w="188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20" w:type="dxa"/>
            <w:vAlign w:val="bottom"/>
          </w:tcPr>
          <w:p>
            <w:pPr>
              <w:spacing w:after="0"/>
              <w:rPr>
                <w:sz w:val="3"/>
                <w:szCs w:val="3"/>
                <w:color w:val="auto"/>
              </w:rPr>
            </w:pPr>
          </w:p>
        </w:tc>
        <w:tc>
          <w:tcPr>
            <w:tcW w:w="7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180" w:type="dxa"/>
            <w:vAlign w:val="bottom"/>
            <w:vMerge w:val="continue"/>
          </w:tcPr>
          <w:p>
            <w:pPr>
              <w:spacing w:after="0"/>
              <w:rPr>
                <w:sz w:val="3"/>
                <w:szCs w:val="3"/>
                <w:color w:val="auto"/>
              </w:rPr>
            </w:pPr>
          </w:p>
        </w:tc>
        <w:tc>
          <w:tcPr>
            <w:tcW w:w="960" w:type="dxa"/>
            <w:vAlign w:val="bottom"/>
          </w:tcPr>
          <w:p>
            <w:pPr>
              <w:spacing w:after="0"/>
              <w:rPr>
                <w:sz w:val="3"/>
                <w:szCs w:val="3"/>
                <w:color w:val="auto"/>
              </w:rPr>
            </w:pPr>
          </w:p>
        </w:tc>
        <w:tc>
          <w:tcPr>
            <w:tcW w:w="840" w:type="dxa"/>
            <w:vAlign w:val="bottom"/>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6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2600" w:type="dxa"/>
            <w:vAlign w:val="bottom"/>
          </w:tcPr>
          <w:p>
            <w:pPr>
              <w:spacing w:after="0"/>
              <w:rPr>
                <w:sz w:val="8"/>
                <w:szCs w:val="8"/>
                <w:color w:val="auto"/>
              </w:rPr>
            </w:pPr>
          </w:p>
        </w:tc>
        <w:tc>
          <w:tcPr>
            <w:tcW w:w="18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60" w:type="dxa"/>
            <w:vAlign w:val="bottom"/>
            <w:vMerge w:val="continue"/>
          </w:tcPr>
          <w:p>
            <w:pPr>
              <w:spacing w:after="0"/>
              <w:rPr>
                <w:sz w:val="8"/>
                <w:szCs w:val="8"/>
                <w:color w:val="auto"/>
              </w:rPr>
            </w:pPr>
          </w:p>
        </w:tc>
        <w:tc>
          <w:tcPr>
            <w:tcW w:w="11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84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2600" w:type="dxa"/>
            <w:vAlign w:val="bottom"/>
          </w:tcPr>
          <w:p>
            <w:pPr>
              <w:spacing w:after="0"/>
              <w:rPr>
                <w:sz w:val="5"/>
                <w:szCs w:val="5"/>
                <w:color w:val="auto"/>
              </w:rPr>
            </w:pPr>
          </w:p>
        </w:tc>
        <w:tc>
          <w:tcPr>
            <w:tcW w:w="188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20" w:type="dxa"/>
            <w:vAlign w:val="bottom"/>
          </w:tcPr>
          <w:p>
            <w:pPr>
              <w:spacing w:after="0"/>
              <w:rPr>
                <w:sz w:val="5"/>
                <w:szCs w:val="5"/>
                <w:color w:val="auto"/>
              </w:rPr>
            </w:pPr>
          </w:p>
        </w:tc>
        <w:tc>
          <w:tcPr>
            <w:tcW w:w="72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60" w:type="dxa"/>
            <w:vAlign w:val="bottom"/>
          </w:tcPr>
          <w:p>
            <w:pPr>
              <w:spacing w:after="0"/>
              <w:rPr>
                <w:sz w:val="5"/>
                <w:szCs w:val="5"/>
                <w:color w:val="auto"/>
              </w:rPr>
            </w:pPr>
          </w:p>
        </w:tc>
        <w:tc>
          <w:tcPr>
            <w:tcW w:w="1180" w:type="dxa"/>
            <w:vAlign w:val="bottom"/>
            <w:vMerge w:val="continue"/>
          </w:tcPr>
          <w:p>
            <w:pPr>
              <w:spacing w:after="0"/>
              <w:rPr>
                <w:sz w:val="5"/>
                <w:szCs w:val="5"/>
                <w:color w:val="auto"/>
              </w:rPr>
            </w:pPr>
          </w:p>
        </w:tc>
        <w:tc>
          <w:tcPr>
            <w:tcW w:w="960" w:type="dxa"/>
            <w:vAlign w:val="bottom"/>
          </w:tcPr>
          <w:p>
            <w:pPr>
              <w:spacing w:after="0"/>
              <w:rPr>
                <w:sz w:val="5"/>
                <w:szCs w:val="5"/>
                <w:color w:val="auto"/>
              </w:rPr>
            </w:pPr>
          </w:p>
        </w:tc>
        <w:tc>
          <w:tcPr>
            <w:tcW w:w="84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2"/>
        </w:trPr>
        <w:tc>
          <w:tcPr>
            <w:tcW w:w="20" w:type="dxa"/>
            <w:vAlign w:val="bottom"/>
            <w:tcBorders>
              <w:bottom w:val="single" w:sz="8" w:color="2C2C2C"/>
            </w:tcBorders>
          </w:tcPr>
          <w:p>
            <w:pPr>
              <w:spacing w:after="0"/>
              <w:rPr>
                <w:sz w:val="6"/>
                <w:szCs w:val="6"/>
                <w:color w:val="auto"/>
              </w:rPr>
            </w:pPr>
          </w:p>
        </w:tc>
        <w:tc>
          <w:tcPr>
            <w:tcW w:w="2600" w:type="dxa"/>
            <w:vAlign w:val="bottom"/>
            <w:tcBorders>
              <w:bottom w:val="single" w:sz="8" w:color="2C2C2C"/>
            </w:tcBorders>
          </w:tcPr>
          <w:p>
            <w:pPr>
              <w:spacing w:after="0"/>
              <w:rPr>
                <w:sz w:val="6"/>
                <w:szCs w:val="6"/>
                <w:color w:val="auto"/>
              </w:rPr>
            </w:pPr>
          </w:p>
        </w:tc>
        <w:tc>
          <w:tcPr>
            <w:tcW w:w="188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80" w:type="dxa"/>
            <w:vAlign w:val="bottom"/>
            <w:tcBorders>
              <w:bottom w:val="single" w:sz="8" w:color="2C2C2C"/>
            </w:tcBorders>
          </w:tcPr>
          <w:p>
            <w:pPr>
              <w:spacing w:after="0"/>
              <w:rPr>
                <w:sz w:val="6"/>
                <w:szCs w:val="6"/>
                <w:color w:val="auto"/>
              </w:rPr>
            </w:pPr>
          </w:p>
        </w:tc>
        <w:tc>
          <w:tcPr>
            <w:tcW w:w="96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600" w:type="dxa"/>
            <w:vAlign w:val="bottom"/>
            <w:tcBorders>
              <w:top w:val="single" w:sz="8" w:color="808080"/>
            </w:tcBorders>
            <w:shd w:val="clear" w:color="auto" w:fill="2C2C2C"/>
          </w:tcPr>
          <w:p>
            <w:pPr>
              <w:spacing w:after="0" w:line="20" w:lineRule="exact"/>
              <w:rPr>
                <w:sz w:val="1"/>
                <w:szCs w:val="1"/>
                <w:color w:val="auto"/>
              </w:rPr>
            </w:pPr>
          </w:p>
        </w:tc>
        <w:tc>
          <w:tcPr>
            <w:tcW w:w="1880" w:type="dxa"/>
            <w:vAlign w:val="bottom"/>
            <w:tcBorders>
              <w:top w:val="single" w:sz="8" w:color="808080"/>
            </w:tcBorders>
            <w:shd w:val="clear" w:color="auto" w:fill="2C2C2C"/>
          </w:tcPr>
          <w:p>
            <w:pPr>
              <w:spacing w:after="0" w:line="20" w:lineRule="exact"/>
              <w:rPr>
                <w:sz w:val="1"/>
                <w:szCs w:val="1"/>
                <w:color w:val="auto"/>
              </w:rPr>
            </w:pPr>
          </w:p>
        </w:tc>
        <w:tc>
          <w:tcPr>
            <w:tcW w:w="1140" w:type="dxa"/>
            <w:vAlign w:val="bottom"/>
            <w:tcBorders>
              <w:top w:val="single" w:sz="8" w:color="808080"/>
            </w:tcBorders>
            <w:shd w:val="clear" w:color="auto" w:fill="2C2C2C"/>
          </w:tcPr>
          <w:p>
            <w:pPr>
              <w:spacing w:after="0" w:line="20" w:lineRule="exact"/>
              <w:rPr>
                <w:sz w:val="1"/>
                <w:szCs w:val="1"/>
                <w:color w:val="auto"/>
              </w:rPr>
            </w:pPr>
          </w:p>
        </w:tc>
        <w:tc>
          <w:tcPr>
            <w:tcW w:w="820" w:type="dxa"/>
            <w:vAlign w:val="bottom"/>
            <w:tcBorders>
              <w:top w:val="single" w:sz="8" w:color="808080"/>
            </w:tcBorders>
            <w:shd w:val="clear" w:color="auto" w:fill="2C2C2C"/>
          </w:tcPr>
          <w:p>
            <w:pPr>
              <w:spacing w:after="0" w:line="20" w:lineRule="exact"/>
              <w:rPr>
                <w:sz w:val="1"/>
                <w:szCs w:val="1"/>
                <w:color w:val="auto"/>
              </w:rPr>
            </w:pPr>
          </w:p>
        </w:tc>
        <w:tc>
          <w:tcPr>
            <w:tcW w:w="720" w:type="dxa"/>
            <w:vAlign w:val="bottom"/>
            <w:tcBorders>
              <w:top w:val="single" w:sz="8" w:color="808080"/>
            </w:tcBorders>
            <w:shd w:val="clear" w:color="auto" w:fill="2C2C2C"/>
          </w:tcPr>
          <w:p>
            <w:pPr>
              <w:spacing w:after="0" w:line="20" w:lineRule="exact"/>
              <w:rPr>
                <w:sz w:val="1"/>
                <w:szCs w:val="1"/>
                <w:color w:val="auto"/>
              </w:rPr>
            </w:pPr>
          </w:p>
        </w:tc>
        <w:tc>
          <w:tcPr>
            <w:tcW w:w="600" w:type="dxa"/>
            <w:vAlign w:val="bottom"/>
            <w:tcBorders>
              <w:top w:val="single" w:sz="8" w:color="808080"/>
            </w:tcBorders>
            <w:shd w:val="clear" w:color="auto" w:fill="2C2C2C"/>
          </w:tcPr>
          <w:p>
            <w:pPr>
              <w:spacing w:after="0" w:line="20" w:lineRule="exact"/>
              <w:rPr>
                <w:sz w:val="1"/>
                <w:szCs w:val="1"/>
                <w:color w:val="auto"/>
              </w:rPr>
            </w:pPr>
          </w:p>
        </w:tc>
        <w:tc>
          <w:tcPr>
            <w:tcW w:w="660" w:type="dxa"/>
            <w:vAlign w:val="bottom"/>
            <w:tcBorders>
              <w:top w:val="single" w:sz="8" w:color="808080"/>
            </w:tcBorders>
            <w:shd w:val="clear" w:color="auto" w:fill="2C2C2C"/>
          </w:tcPr>
          <w:p>
            <w:pPr>
              <w:spacing w:after="0" w:line="20" w:lineRule="exact"/>
              <w:rPr>
                <w:sz w:val="1"/>
                <w:szCs w:val="1"/>
                <w:color w:val="auto"/>
              </w:rPr>
            </w:pPr>
          </w:p>
        </w:tc>
        <w:tc>
          <w:tcPr>
            <w:tcW w:w="1180" w:type="dxa"/>
            <w:vAlign w:val="bottom"/>
            <w:tcBorders>
              <w:top w:val="single" w:sz="8" w:color="808080"/>
            </w:tcBorders>
            <w:shd w:val="clear" w:color="auto" w:fill="2C2C2C"/>
          </w:tcPr>
          <w:p>
            <w:pPr>
              <w:spacing w:after="0" w:line="20" w:lineRule="exact"/>
              <w:rPr>
                <w:sz w:val="1"/>
                <w:szCs w:val="1"/>
                <w:color w:val="auto"/>
              </w:rPr>
            </w:pPr>
          </w:p>
        </w:tc>
        <w:tc>
          <w:tcPr>
            <w:tcW w:w="960" w:type="dxa"/>
            <w:vAlign w:val="bottom"/>
            <w:tcBorders>
              <w:top w:val="single" w:sz="8" w:color="808080"/>
            </w:tcBorders>
            <w:shd w:val="clear" w:color="auto" w:fill="2C2C2C"/>
          </w:tcPr>
          <w:p>
            <w:pPr>
              <w:spacing w:after="0" w:line="20" w:lineRule="exact"/>
              <w:rPr>
                <w:sz w:val="1"/>
                <w:szCs w:val="1"/>
                <w:color w:val="auto"/>
              </w:rPr>
            </w:pPr>
          </w:p>
        </w:tc>
        <w:tc>
          <w:tcPr>
            <w:tcW w:w="840" w:type="dxa"/>
            <w:vAlign w:val="bottom"/>
            <w:tcBorders>
              <w:top w:val="single" w:sz="8" w:color="808080"/>
            </w:tcBorders>
            <w:shd w:val="clear" w:color="auto" w:fill="2C2C2C"/>
          </w:tcPr>
          <w:p>
            <w:pPr>
              <w:spacing w:after="0" w:line="20" w:lineRule="exact"/>
              <w:rPr>
                <w:sz w:val="1"/>
                <w:szCs w:val="1"/>
                <w:color w:val="auto"/>
              </w:rPr>
            </w:pPr>
          </w:p>
        </w:tc>
        <w:tc>
          <w:tcPr>
            <w:tcW w:w="60" w:type="dxa"/>
            <w:vAlign w:val="bottom"/>
            <w:tcBorders>
              <w:top w:val="single" w:sz="8" w:color="808080"/>
            </w:tcBorders>
            <w:shd w:val="clear" w:color="auto" w:fill="2C2C2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p>
      <w:pPr>
        <w:spacing w:after="0" w:line="1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109"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560" w:type="dxa"/>
            <w:vAlign w:val="bottom"/>
          </w:tcPr>
          <w:p>
            <w:pPr>
              <w:spacing w:after="0"/>
              <w:rPr>
                <w:sz w:val="12"/>
                <w:szCs w:val="12"/>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56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56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6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 and 4)</w:t>
            </w: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560" w:type="dxa"/>
            <w:vAlign w:val="bottom"/>
          </w:tcPr>
          <w:p>
            <w:pPr>
              <w:ind w:left="2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spacing w:after="0"/>
              <w:rPr>
                <w:sz w:val="11"/>
                <w:szCs w:val="11"/>
                <w:color w:val="auto"/>
              </w:rPr>
            </w:pPr>
          </w:p>
        </w:tc>
        <w:tc>
          <w:tcPr>
            <w:tcW w:w="5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60" w:type="dxa"/>
            <w:vAlign w:val="bottom"/>
          </w:tcPr>
          <w:p>
            <w:pPr>
              <w:ind w:left="20"/>
              <w:spacing w:after="0"/>
              <w:rPr>
                <w:sz w:val="20"/>
                <w:szCs w:val="20"/>
                <w:color w:val="auto"/>
              </w:rPr>
            </w:pPr>
            <w:r>
              <w:rPr>
                <w:rFonts w:ascii="Arial" w:cs="Arial" w:eastAsia="Arial" w:hAnsi="Arial"/>
                <w:sz w:val="12"/>
                <w:szCs w:val="12"/>
                <w:b w:val="1"/>
                <w:bCs w:val="1"/>
                <w:color w:val="auto"/>
              </w:rPr>
              <w:t>Shares</w:t>
            </w: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720" w:type="dxa"/>
            <w:vAlign w:val="bottom"/>
          </w:tcPr>
          <w:p>
            <w:pPr>
              <w:ind w:left="60"/>
              <w:spacing w:after="0"/>
              <w:rPr>
                <w:sz w:val="20"/>
                <w:szCs w:val="20"/>
                <w:color w:val="auto"/>
              </w:rPr>
            </w:pPr>
            <w:r>
              <w:rPr>
                <w:rFonts w:ascii="Arial" w:cs="Arial" w:eastAsia="Arial" w:hAnsi="Arial"/>
                <w:sz w:val="14"/>
                <w:szCs w:val="14"/>
                <w:color w:val="0000FF"/>
              </w:rPr>
              <w:t>Phantom</w:t>
            </w: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1140" w:type="dxa"/>
            <w:vAlign w:val="bottom"/>
            <w:vMerge w:val="restart"/>
          </w:tcPr>
          <w:p>
            <w:pPr>
              <w:jc w:val="right"/>
              <w:ind w:right="198"/>
              <w:spacing w:after="0"/>
              <w:rPr>
                <w:sz w:val="20"/>
                <w:szCs w:val="20"/>
                <w:color w:val="auto"/>
              </w:rPr>
            </w:pPr>
            <w:r>
              <w:rPr>
                <w:rFonts w:ascii="Arial" w:cs="Arial" w:eastAsia="Arial" w:hAnsi="Arial"/>
                <w:sz w:val="14"/>
                <w:szCs w:val="14"/>
                <w:color w:val="0000FF"/>
              </w:rPr>
              <w:t>03/05/2018</w:t>
            </w:r>
          </w:p>
        </w:tc>
        <w:tc>
          <w:tcPr>
            <w:tcW w:w="1140" w:type="dxa"/>
            <w:vAlign w:val="bottom"/>
          </w:tcPr>
          <w:p>
            <w:pPr>
              <w:spacing w:after="0"/>
              <w:rPr>
                <w:sz w:val="16"/>
                <w:szCs w:val="16"/>
                <w:color w:val="auto"/>
              </w:rPr>
            </w:pPr>
          </w:p>
        </w:tc>
        <w:tc>
          <w:tcPr>
            <w:tcW w:w="820" w:type="dxa"/>
            <w:vAlign w:val="bottom"/>
            <w:vMerge w:val="restart"/>
          </w:tcPr>
          <w:p>
            <w:pPr>
              <w:ind w:left="160"/>
              <w:spacing w:after="0"/>
              <w:rPr>
                <w:sz w:val="20"/>
                <w:szCs w:val="20"/>
                <w:color w:val="auto"/>
              </w:rPr>
            </w:pPr>
            <w:r>
              <w:rPr>
                <w:rFonts w:ascii="Arial" w:cs="Arial" w:eastAsia="Arial" w:hAnsi="Arial"/>
                <w:sz w:val="14"/>
                <w:szCs w:val="14"/>
                <w:color w:val="0000FF"/>
              </w:rPr>
              <w:t>A</w:t>
            </w:r>
          </w:p>
        </w:tc>
        <w:tc>
          <w:tcPr>
            <w:tcW w:w="760" w:type="dxa"/>
            <w:vAlign w:val="bottom"/>
            <w:vMerge w:val="restart"/>
          </w:tcPr>
          <w:p>
            <w:pPr>
              <w:ind w:left="100"/>
              <w:spacing w:after="0"/>
              <w:rPr>
                <w:sz w:val="20"/>
                <w:szCs w:val="20"/>
                <w:color w:val="auto"/>
              </w:rPr>
            </w:pPr>
            <w:r>
              <w:rPr>
                <w:rFonts w:ascii="Arial" w:cs="Arial" w:eastAsia="Arial" w:hAnsi="Arial"/>
                <w:sz w:val="14"/>
                <w:szCs w:val="14"/>
                <w:color w:val="0000FF"/>
              </w:rPr>
              <w:t>668</w:t>
            </w:r>
          </w:p>
        </w:tc>
        <w:tc>
          <w:tcPr>
            <w:tcW w:w="800" w:type="dxa"/>
            <w:vAlign w:val="bottom"/>
            <w:vMerge w:val="restart"/>
          </w:tcPr>
          <w:p>
            <w:pPr>
              <w:ind w:left="340"/>
              <w:spacing w:after="0"/>
              <w:rPr>
                <w:sz w:val="20"/>
                <w:szCs w:val="20"/>
                <w:color w:val="auto"/>
              </w:rPr>
            </w:pPr>
            <w:r>
              <w:rPr>
                <w:rFonts w:ascii="Arial" w:cs="Arial" w:eastAsia="Arial" w:hAnsi="Arial"/>
                <w:sz w:val="11"/>
                <w:szCs w:val="11"/>
                <w:color w:val="008000"/>
              </w:rPr>
              <w:t>(2)</w:t>
            </w:r>
          </w:p>
        </w:tc>
        <w:tc>
          <w:tcPr>
            <w:tcW w:w="760" w:type="dxa"/>
            <w:vAlign w:val="bottom"/>
            <w:vMerge w:val="restart"/>
          </w:tcPr>
          <w:p>
            <w:pPr>
              <w:jc w:val="right"/>
              <w:ind w:right="241"/>
              <w:spacing w:after="0"/>
              <w:rPr>
                <w:sz w:val="20"/>
                <w:szCs w:val="20"/>
                <w:color w:val="auto"/>
              </w:rPr>
            </w:pPr>
            <w:r>
              <w:rPr>
                <w:rFonts w:ascii="Arial" w:cs="Arial" w:eastAsia="Arial" w:hAnsi="Arial"/>
                <w:sz w:val="11"/>
                <w:szCs w:val="11"/>
                <w:color w:val="008000"/>
              </w:rPr>
              <w:t>(2)</w:t>
            </w:r>
          </w:p>
        </w:tc>
        <w:tc>
          <w:tcPr>
            <w:tcW w:w="700" w:type="dxa"/>
            <w:vAlign w:val="bottom"/>
          </w:tcPr>
          <w:p>
            <w:pPr>
              <w:ind w:left="60"/>
              <w:spacing w:after="0"/>
              <w:rPr>
                <w:sz w:val="20"/>
                <w:szCs w:val="20"/>
                <w:color w:val="auto"/>
              </w:rPr>
            </w:pPr>
            <w:r>
              <w:rPr>
                <w:rFonts w:ascii="Arial" w:cs="Arial" w:eastAsia="Arial" w:hAnsi="Arial"/>
                <w:sz w:val="14"/>
                <w:szCs w:val="14"/>
                <w:color w:val="0000FF"/>
              </w:rPr>
              <w:t>Common</w:t>
            </w:r>
          </w:p>
        </w:tc>
        <w:tc>
          <w:tcPr>
            <w:tcW w:w="560" w:type="dxa"/>
            <w:vAlign w:val="bottom"/>
            <w:vMerge w:val="restart"/>
          </w:tcPr>
          <w:p>
            <w:pPr>
              <w:ind w:left="120"/>
              <w:spacing w:after="0"/>
              <w:rPr>
                <w:sz w:val="20"/>
                <w:szCs w:val="20"/>
                <w:color w:val="auto"/>
              </w:rPr>
            </w:pPr>
            <w:r>
              <w:rPr>
                <w:rFonts w:ascii="Arial" w:cs="Arial" w:eastAsia="Arial" w:hAnsi="Arial"/>
                <w:sz w:val="18"/>
                <w:szCs w:val="18"/>
                <w:color w:val="0000FF"/>
              </w:rPr>
              <w:t>668</w:t>
            </w:r>
          </w:p>
        </w:tc>
        <w:tc>
          <w:tcPr>
            <w:tcW w:w="720" w:type="dxa"/>
            <w:vAlign w:val="bottom"/>
            <w:vMerge w:val="restart"/>
          </w:tcPr>
          <w:p>
            <w:pPr>
              <w:ind w:left="18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43.05</w:t>
            </w:r>
          </w:p>
        </w:tc>
        <w:tc>
          <w:tcPr>
            <w:tcW w:w="980" w:type="dxa"/>
            <w:vAlign w:val="bottom"/>
            <w:vMerge w:val="restart"/>
          </w:tcPr>
          <w:p>
            <w:pPr>
              <w:ind w:left="300"/>
              <w:spacing w:after="0"/>
              <w:rPr>
                <w:sz w:val="20"/>
                <w:szCs w:val="20"/>
                <w:color w:val="auto"/>
              </w:rPr>
            </w:pPr>
            <w:r>
              <w:rPr>
                <w:rFonts w:ascii="Arial" w:cs="Arial" w:eastAsia="Arial" w:hAnsi="Arial"/>
                <w:sz w:val="14"/>
                <w:szCs w:val="14"/>
                <w:color w:val="0000FF"/>
              </w:rPr>
              <w:t>54,637</w:t>
            </w:r>
          </w:p>
        </w:tc>
        <w:tc>
          <w:tcPr>
            <w:tcW w:w="760" w:type="dxa"/>
            <w:vAlign w:val="bottom"/>
            <w:vMerge w:val="restart"/>
          </w:tcPr>
          <w:p>
            <w:pPr>
              <w:ind w:left="340"/>
              <w:spacing w:after="0"/>
              <w:rPr>
                <w:sz w:val="20"/>
                <w:szCs w:val="20"/>
                <w:color w:val="auto"/>
              </w:rPr>
            </w:pPr>
            <w:r>
              <w:rPr>
                <w:rFonts w:ascii="Arial" w:cs="Arial" w:eastAsia="Arial" w:hAnsi="Arial"/>
                <w:sz w:val="14"/>
                <w:szCs w:val="14"/>
                <w:color w:val="0000FF"/>
              </w:rPr>
              <w:t>D</w:t>
            </w:r>
          </w:p>
        </w:tc>
        <w:tc>
          <w:tcPr>
            <w:tcW w:w="7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7"/>
        </w:trPr>
        <w:tc>
          <w:tcPr>
            <w:tcW w:w="720" w:type="dxa"/>
            <w:vAlign w:val="bottom"/>
            <w:vMerge w:val="restart"/>
          </w:tcPr>
          <w:p>
            <w:pPr>
              <w:ind w:left="60"/>
              <w:spacing w:after="0"/>
              <w:rPr>
                <w:sz w:val="20"/>
                <w:szCs w:val="20"/>
                <w:color w:val="auto"/>
              </w:rPr>
            </w:pPr>
            <w:r>
              <w:rPr>
                <w:rFonts w:ascii="Arial" w:cs="Arial" w:eastAsia="Arial" w:hAnsi="Arial"/>
                <w:sz w:val="14"/>
                <w:szCs w:val="14"/>
                <w:color w:val="0000FF"/>
              </w:rPr>
              <w:t>Stock</w:t>
            </w:r>
          </w:p>
        </w:tc>
        <w:tc>
          <w:tcPr>
            <w:tcW w:w="8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1140" w:type="dxa"/>
            <w:vAlign w:val="bottom"/>
          </w:tcPr>
          <w:p>
            <w:pPr>
              <w:spacing w:after="0"/>
              <w:rPr>
                <w:sz w:val="10"/>
                <w:szCs w:val="10"/>
                <w:color w:val="auto"/>
              </w:rPr>
            </w:pPr>
          </w:p>
        </w:tc>
        <w:tc>
          <w:tcPr>
            <w:tcW w:w="8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700" w:type="dxa"/>
            <w:vAlign w:val="bottom"/>
            <w:vMerge w:val="restart"/>
          </w:tcPr>
          <w:p>
            <w:pPr>
              <w:ind w:left="160"/>
              <w:spacing w:after="0"/>
              <w:rPr>
                <w:sz w:val="20"/>
                <w:szCs w:val="20"/>
                <w:color w:val="auto"/>
              </w:rPr>
            </w:pPr>
            <w:r>
              <w:rPr>
                <w:rFonts w:ascii="Arial" w:cs="Arial" w:eastAsia="Arial" w:hAnsi="Arial"/>
                <w:sz w:val="14"/>
                <w:szCs w:val="14"/>
                <w:color w:val="0000FF"/>
              </w:rPr>
              <w:t>Stock</w:t>
            </w:r>
          </w:p>
        </w:tc>
        <w:tc>
          <w:tcPr>
            <w:tcW w:w="56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6"/>
        </w:trPr>
        <w:tc>
          <w:tcPr>
            <w:tcW w:w="720" w:type="dxa"/>
            <w:vAlign w:val="bottom"/>
            <w:vMerge w:val="continue"/>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20" w:type="dxa"/>
            <w:vAlign w:val="bottom"/>
          </w:tcPr>
          <w:p>
            <w:pPr>
              <w:spacing w:after="0"/>
              <w:rPr>
                <w:sz w:val="4"/>
                <w:szCs w:val="4"/>
                <w:color w:val="auto"/>
              </w:rPr>
            </w:pPr>
          </w:p>
        </w:tc>
        <w:tc>
          <w:tcPr>
            <w:tcW w:w="760" w:type="dxa"/>
            <w:vAlign w:val="bottom"/>
          </w:tcPr>
          <w:p>
            <w:pPr>
              <w:spacing w:after="0"/>
              <w:rPr>
                <w:sz w:val="4"/>
                <w:szCs w:val="4"/>
                <w:color w:val="auto"/>
              </w:rPr>
            </w:pPr>
          </w:p>
        </w:tc>
        <w:tc>
          <w:tcPr>
            <w:tcW w:w="800" w:type="dxa"/>
            <w:vAlign w:val="bottom"/>
          </w:tcPr>
          <w:p>
            <w:pPr>
              <w:spacing w:after="0"/>
              <w:rPr>
                <w:sz w:val="4"/>
                <w:szCs w:val="4"/>
                <w:color w:val="auto"/>
              </w:rPr>
            </w:pPr>
          </w:p>
        </w:tc>
        <w:tc>
          <w:tcPr>
            <w:tcW w:w="760" w:type="dxa"/>
            <w:vAlign w:val="bottom"/>
          </w:tcPr>
          <w:p>
            <w:pPr>
              <w:spacing w:after="0"/>
              <w:rPr>
                <w:sz w:val="4"/>
                <w:szCs w:val="4"/>
                <w:color w:val="auto"/>
              </w:rPr>
            </w:pPr>
          </w:p>
        </w:tc>
        <w:tc>
          <w:tcPr>
            <w:tcW w:w="700" w:type="dxa"/>
            <w:vAlign w:val="bottom"/>
            <w:vMerge w:val="continue"/>
          </w:tcPr>
          <w:p>
            <w:pPr>
              <w:spacing w:after="0"/>
              <w:rPr>
                <w:sz w:val="4"/>
                <w:szCs w:val="4"/>
                <w:color w:val="auto"/>
              </w:rPr>
            </w:pPr>
          </w:p>
        </w:tc>
        <w:tc>
          <w:tcPr>
            <w:tcW w:w="560" w:type="dxa"/>
            <w:vAlign w:val="bottom"/>
          </w:tcPr>
          <w:p>
            <w:pPr>
              <w:spacing w:after="0"/>
              <w:rPr>
                <w:sz w:val="4"/>
                <w:szCs w:val="4"/>
                <w:color w:val="auto"/>
              </w:rPr>
            </w:pPr>
          </w:p>
        </w:tc>
        <w:tc>
          <w:tcPr>
            <w:tcW w:w="720" w:type="dxa"/>
            <w:vAlign w:val="bottom"/>
          </w:tcPr>
          <w:p>
            <w:pPr>
              <w:spacing w:after="0"/>
              <w:rPr>
                <w:sz w:val="4"/>
                <w:szCs w:val="4"/>
                <w:color w:val="auto"/>
              </w:rPr>
            </w:pPr>
          </w:p>
        </w:tc>
        <w:tc>
          <w:tcPr>
            <w:tcW w:w="9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68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Each share of phantom stock is the economic equivalent of one share of common stock, and represents director compensation deferred in the form of common stock pursuant to the issuer's deferred compensation plan.</w:t>
      </w:r>
    </w:p>
    <w:p>
      <w:pPr>
        <w:spacing w:after="0" w:line="30" w:lineRule="exact"/>
        <w:rPr>
          <w:rFonts w:ascii="Arial" w:cs="Arial" w:eastAsia="Arial" w:hAnsi="Arial"/>
          <w:sz w:val="14"/>
          <w:szCs w:val="14"/>
          <w:color w:val="008000"/>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shares of phantom stock become payable in the form of common stock upon the reporting person's termination of service as a member of the issuer's board of directors.</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80" w:type="dxa"/>
            <w:vAlign w:val="bottom"/>
            <w:gridSpan w:val="3"/>
          </w:tcPr>
          <w:p>
            <w:pPr>
              <w:spacing w:after="0"/>
              <w:rPr>
                <w:sz w:val="20"/>
                <w:szCs w:val="20"/>
                <w:color w:val="auto"/>
              </w:rPr>
            </w:pPr>
            <w:r>
              <w:rPr>
                <w:rFonts w:ascii="Arial" w:cs="Arial" w:eastAsia="Arial" w:hAnsi="Arial"/>
                <w:sz w:val="18"/>
                <w:szCs w:val="18"/>
                <w:color w:val="0000FF"/>
                <w:w w:val="92"/>
              </w:rPr>
              <w:t>Carey A. O'Connor, attorney-</w:t>
            </w: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03/07/2018</w:t>
            </w:r>
          </w:p>
        </w:tc>
        <w:tc>
          <w:tcPr>
            <w:tcW w:w="0" w:type="dxa"/>
            <w:vAlign w:val="bottom"/>
          </w:tcPr>
          <w:p>
            <w:pPr>
              <w:spacing w:after="0"/>
              <w:rPr>
                <w:sz w:val="1"/>
                <w:szCs w:val="1"/>
                <w:color w:val="auto"/>
              </w:rPr>
            </w:pPr>
          </w:p>
        </w:tc>
      </w:tr>
      <w:tr>
        <w:trPr>
          <w:trHeight w:val="88"/>
        </w:trPr>
        <w:tc>
          <w:tcPr>
            <w:tcW w:w="208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rPr>
              <w:t>in-fact</w:t>
            </w:r>
          </w:p>
        </w:tc>
        <w:tc>
          <w:tcPr>
            <w:tcW w:w="10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080" w:type="dxa"/>
            <w:vAlign w:val="bottom"/>
            <w:tcBorders>
              <w:top w:val="single" w:sz="8" w:color="auto"/>
            </w:tcBorders>
            <w:gridSpan w:val="2"/>
            <w:vMerge w:val="continue"/>
          </w:tcPr>
          <w:p>
            <w:pPr>
              <w:spacing w:after="0"/>
              <w:rPr>
                <w:sz w:val="7"/>
                <w:szCs w:val="7"/>
                <w:color w:val="auto"/>
              </w:rPr>
            </w:pPr>
          </w:p>
        </w:tc>
        <w:tc>
          <w:tcPr>
            <w:tcW w:w="10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460" w:type="dxa"/>
            <w:vAlign w:val="bottom"/>
            <w:shd w:val="clear" w:color="auto" w:fill="000000"/>
          </w:tcPr>
          <w:p>
            <w:pPr>
              <w:spacing w:after="0" w:line="20" w:lineRule="exact"/>
              <w:rPr>
                <w:sz w:val="1"/>
                <w:szCs w:val="1"/>
                <w:color w:val="auto"/>
              </w:rPr>
            </w:pPr>
          </w:p>
        </w:tc>
        <w:tc>
          <w:tcPr>
            <w:tcW w:w="17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4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38890"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2019-12-23T14:17:47Z</dcterms:created>
  <dcterms:modified xsi:type="dcterms:W3CDTF">2019-12-23T14:17:47Z</dcterms:modified>
</cp:coreProperties>
</file>