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6"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-241935</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5482590</wp:posOffset>
            </wp:positionH>
            <wp:positionV relativeFrom="paragraph">
              <wp:posOffset>-650240</wp:posOffset>
            </wp:positionV>
            <wp:extent cx="59690" cy="663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3575"/>
                    </a:xfrm>
                    <a:prstGeom prst="rect">
                      <a:avLst/>
                    </a:prstGeom>
                    <a:noFill/>
                  </pic:spPr>
                </pic:pic>
              </a:graphicData>
            </a:graphic>
          </wp:anchor>
        </w:drawing>
        <w:drawing>
          <wp:anchor simplePos="0" relativeHeight="251657728" behindDoc="1" locked="0" layoutInCell="0" allowOverlap="1">
            <wp:simplePos x="0" y="0"/>
            <wp:positionH relativeFrom="column">
              <wp:posOffset>4146550</wp:posOffset>
            </wp:positionH>
            <wp:positionV relativeFrom="paragraph">
              <wp:posOffset>-650240</wp:posOffset>
            </wp:positionV>
            <wp:extent cx="59690" cy="663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357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095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09524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Wilson Kirk</w:t>
        </w:r>
      </w:hyperlink>
    </w:p>
    <w:p>
      <w:pPr>
        <w:spacing w:after="0" w:line="324"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02/20/2020</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5" w:right="660" w:firstLine="5"/>
        <w:spacing w:after="0" w:line="255" w:lineRule="auto"/>
        <w:tabs>
          <w:tab w:leader="none" w:pos="144"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15" w:type="dxa"/>
        <w:tblCellMar>
          <w:top w:w="0" w:type="dxa"/>
          <w:left w:w="0" w:type="dxa"/>
          <w:bottom w:w="0" w:type="dxa"/>
          <w:right w:w="0" w:type="dxa"/>
        </w:tblCellMar>
      </w:tblPr>
      <w:tr>
        <w:trPr>
          <w:trHeight w:val="161"/>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15"/>
        <w:spacing w:after="0"/>
        <w:rPr>
          <w:sz w:val="20"/>
          <w:szCs w:val="20"/>
          <w:color w:val="auto"/>
        </w:rPr>
      </w:pPr>
      <w:r>
        <w:rPr>
          <w:rFonts w:ascii="Arial" w:cs="Arial" w:eastAsia="Arial" w:hAnsi="Arial"/>
          <w:sz w:val="17"/>
          <w:szCs w:val="17"/>
          <w:color w:val="0000FF"/>
        </w:rPr>
        <w:t>President, FCD</w:t>
      </w:r>
    </w:p>
    <w:p>
      <w:pPr>
        <w:spacing w:after="0" w:line="205" w:lineRule="exact"/>
        <w:rPr>
          <w:sz w:val="24"/>
          <w:szCs w:val="24"/>
          <w:color w:val="auto"/>
        </w:rPr>
      </w:pPr>
    </w:p>
    <w:p>
      <w:pPr>
        <w:sectPr>
          <w:pgSz w:w="11900" w:h="16838" w:orient="portrait"/>
          <w:cols w:equalWidth="0" w:num="3">
            <w:col w:w="3340" w:space="720"/>
            <w:col w:w="3265" w:space="720"/>
            <w:col w:w="3475"/>
          </w:cols>
          <w:pgMar w:left="240" w:top="225" w:right="139" w:bottom="1440" w:gutter="0" w:footer="0" w:header="0"/>
          <w:type w:val="continuous"/>
        </w:sectPr>
      </w:pPr>
    </w:p>
    <w:p>
      <w:pPr>
        <w:ind w:left="120"/>
        <w:spacing w:after="0"/>
        <w:rPr>
          <w:sz w:val="20"/>
          <w:szCs w:val="20"/>
          <w:color w:val="auto"/>
        </w:rPr>
      </w:pPr>
      <w:r>
        <w:rPr>
          <w:rFonts w:ascii="Arial" w:cs="Arial" w:eastAsia="Arial" w:hAnsi="Arial"/>
          <w:sz w:val="17"/>
          <w:szCs w:val="17"/>
          <w:color w:val="0000FF"/>
        </w:rPr>
        <w:t>NORTH O'CONNOR BLVD #2300</w:t>
      </w:r>
    </w:p>
    <w:p>
      <w:pPr>
        <w:spacing w:after="0" w:line="5" w:lineRule="exact"/>
        <w:rPr>
          <w:sz w:val="24"/>
          <w:szCs w:val="24"/>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900" w:type="dxa"/>
            <w:vAlign w:val="bottom"/>
            <w:tcBorders>
              <w:bottom w:val="single" w:sz="8" w:color="9A9A9A"/>
            </w:tcBorders>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c>
          <w:tcPr>
            <w:tcW w:w="3860" w:type="dxa"/>
            <w:vAlign w:val="bottom"/>
            <w:gridSpan w:val="8"/>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0"/>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0" w:type="dxa"/>
            <w:vAlign w:val="bottom"/>
            <w:gridSpan w:val="2"/>
          </w:tcPr>
          <w:p>
            <w:pPr>
              <w:ind w:left="28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720" w:type="dxa"/>
            <w:vAlign w:val="bottom"/>
          </w:tcPr>
          <w:p>
            <w:pPr>
              <w:spacing w:after="0"/>
              <w:rPr>
                <w:sz w:val="9"/>
                <w:szCs w:val="9"/>
                <w:color w:val="auto"/>
              </w:rPr>
            </w:pPr>
          </w:p>
        </w:tc>
        <w:tc>
          <w:tcPr>
            <w:tcW w:w="376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IRVING</w:t>
            </w:r>
          </w:p>
        </w:tc>
        <w:tc>
          <w:tcPr>
            <w:tcW w:w="840" w:type="dxa"/>
            <w:vAlign w:val="bottom"/>
            <w:vMerge w:val="restart"/>
          </w:tcPr>
          <w:p>
            <w:pPr>
              <w:ind w:left="560"/>
              <w:spacing w:after="0"/>
              <w:rPr>
                <w:sz w:val="20"/>
                <w:szCs w:val="20"/>
                <w:color w:val="auto"/>
              </w:rPr>
            </w:pPr>
            <w:r>
              <w:rPr>
                <w:rFonts w:ascii="Arial" w:cs="Arial" w:eastAsia="Arial" w:hAnsi="Arial"/>
                <w:sz w:val="17"/>
                <w:szCs w:val="17"/>
                <w:color w:val="0000FF"/>
              </w:rPr>
              <w:t>TX</w:t>
            </w:r>
          </w:p>
        </w:tc>
        <w:tc>
          <w:tcPr>
            <w:tcW w:w="900" w:type="dxa"/>
            <w:vAlign w:val="bottom"/>
          </w:tcPr>
          <w:p>
            <w:pPr>
              <w:spacing w:after="0"/>
              <w:rPr>
                <w:sz w:val="11"/>
                <w:szCs w:val="11"/>
                <w:color w:val="auto"/>
              </w:rPr>
            </w:pPr>
          </w:p>
        </w:tc>
        <w:tc>
          <w:tcPr>
            <w:tcW w:w="1320" w:type="dxa"/>
            <w:vAlign w:val="bottom"/>
            <w:vMerge w:val="restart"/>
          </w:tcPr>
          <w:p>
            <w:pPr>
              <w:ind w:left="100"/>
              <w:spacing w:after="0"/>
              <w:rPr>
                <w:sz w:val="20"/>
                <w:szCs w:val="20"/>
                <w:color w:val="auto"/>
              </w:rPr>
            </w:pPr>
            <w:r>
              <w:rPr>
                <w:rFonts w:ascii="Arial" w:cs="Arial" w:eastAsia="Arial" w:hAnsi="Arial"/>
                <w:sz w:val="17"/>
                <w:szCs w:val="17"/>
                <w:color w:val="0000FF"/>
              </w:rPr>
              <w:t>75039</w:t>
            </w: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7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900" w:type="dxa"/>
            <w:vAlign w:val="bottom"/>
          </w:tcPr>
          <w:p>
            <w:pPr>
              <w:spacing w:after="0"/>
              <w:rPr>
                <w:sz w:val="9"/>
                <w:szCs w:val="9"/>
                <w:color w:val="auto"/>
              </w:rPr>
            </w:pPr>
          </w:p>
        </w:tc>
        <w:tc>
          <w:tcPr>
            <w:tcW w:w="132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7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7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900" w:type="dxa"/>
            <w:vAlign w:val="bottom"/>
            <w:tcBorders>
              <w:bottom w:val="single" w:sz="8" w:color="9A9A9A"/>
            </w:tcBorders>
          </w:tcPr>
          <w:p>
            <w:pPr>
              <w:spacing w:after="0"/>
              <w:rPr>
                <w:sz w:val="5"/>
                <w:szCs w:val="5"/>
                <w:color w:val="auto"/>
              </w:rPr>
            </w:pPr>
          </w:p>
        </w:tc>
        <w:tc>
          <w:tcPr>
            <w:tcW w:w="132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20" w:type="dxa"/>
            <w:vAlign w:val="bottom"/>
            <w:vMerge w:val="restart"/>
          </w:tcPr>
          <w:p>
            <w:pPr>
              <w:ind w:left="10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vMerge w:val="continue"/>
          </w:tcPr>
          <w:p>
            <w:pPr>
              <w:spacing w:after="0"/>
              <w:rPr>
                <w:sz w:val="19"/>
                <w:szCs w:val="19"/>
                <w:color w:val="auto"/>
              </w:rPr>
            </w:pPr>
          </w:p>
        </w:tc>
        <w:tc>
          <w:tcPr>
            <w:tcW w:w="1740" w:type="dxa"/>
            <w:vAlign w:val="bottom"/>
            <w:gridSpan w:val="2"/>
            <w:vMerge w:val="continue"/>
          </w:tcPr>
          <w:p>
            <w:pPr>
              <w:spacing w:after="0"/>
              <w:rPr>
                <w:sz w:val="19"/>
                <w:szCs w:val="19"/>
                <w:color w:val="auto"/>
              </w:rPr>
            </w:pPr>
          </w:p>
        </w:tc>
        <w:tc>
          <w:tcPr>
            <w:tcW w:w="132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3960" w:type="dxa"/>
            <w:vAlign w:val="bottom"/>
            <w:tcBorders>
              <w:bottom w:val="single" w:sz="8" w:color="2C2C2C"/>
            </w:tcBorders>
            <w:gridSpan w:val="7"/>
          </w:tcPr>
          <w:p>
            <w:pPr>
              <w:spacing w:after="0"/>
              <w:rPr>
                <w:sz w:val="11"/>
                <w:szCs w:val="11"/>
                <w:color w:val="auto"/>
              </w:rPr>
            </w:pPr>
          </w:p>
        </w:tc>
        <w:tc>
          <w:tcPr>
            <w:tcW w:w="2660" w:type="dxa"/>
            <w:vAlign w:val="bottom"/>
            <w:tcBorders>
              <w:bottom w:val="single" w:sz="8" w:color="2C2C2C"/>
            </w:tcBorders>
            <w:gridSpan w:val="4"/>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7400" w:type="dxa"/>
            <w:vAlign w:val="bottom"/>
            <w:tcBorders>
              <w:top w:val="single" w:sz="8" w:color="2C2C2C"/>
            </w:tcBorders>
            <w:gridSpan w:val="14"/>
          </w:tcPr>
          <w:p>
            <w:pPr>
              <w:ind w:left="7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560" w:type="dxa"/>
            <w:vAlign w:val="bottom"/>
            <w:tcBorders>
              <w:bottom w:val="single" w:sz="8" w:color="2C2C2C"/>
            </w:tcBorders>
            <w:gridSpan w:val="4"/>
          </w:tcPr>
          <w:p>
            <w:pPr>
              <w:spacing w:after="0"/>
              <w:rPr>
                <w:sz w:val="4"/>
                <w:szCs w:val="4"/>
                <w:color w:val="auto"/>
              </w:rPr>
            </w:pPr>
          </w:p>
        </w:tc>
        <w:tc>
          <w:tcPr>
            <w:tcW w:w="19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60" w:type="dxa"/>
            <w:vAlign w:val="bottom"/>
            <w:gridSpan w:val="2"/>
          </w:tcPr>
          <w:p>
            <w:pPr>
              <w:ind w:left="88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ind w:left="880"/>
              <w:spacing w:after="0" w:line="132"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6"/>
              </w:rPr>
              <w:t>Transaction</w:t>
            </w:r>
          </w:p>
        </w:tc>
        <w:tc>
          <w:tcPr>
            <w:tcW w:w="198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7"/>
              </w:rPr>
              <w:t>Securities</w:t>
            </w:r>
          </w:p>
        </w:tc>
        <w:tc>
          <w:tcPr>
            <w:tcW w:w="620" w:type="dxa"/>
            <w:vAlign w:val="bottom"/>
          </w:tcPr>
          <w:p>
            <w:pPr>
              <w:spacing w:after="0"/>
              <w:rPr>
                <w:sz w:val="11"/>
                <w:szCs w:val="11"/>
                <w:color w:val="auto"/>
              </w:rPr>
            </w:pPr>
          </w:p>
        </w:tc>
        <w:tc>
          <w:tcPr>
            <w:tcW w:w="9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960" w:type="dxa"/>
            <w:vAlign w:val="bottom"/>
            <w:gridSpan w:val="2"/>
          </w:tcPr>
          <w:p>
            <w:pPr>
              <w:ind w:left="88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6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w w:val="97"/>
              </w:rPr>
              <w:t>(Month/Day/Year)</w:t>
            </w:r>
          </w:p>
        </w:tc>
        <w:tc>
          <w:tcPr>
            <w:tcW w:w="8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8)</w:t>
            </w: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6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30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60" w:type="dxa"/>
            <w:vAlign w:val="bottom"/>
            <w:vMerge w:val="continue"/>
          </w:tcPr>
          <w:p>
            <w:pPr>
              <w:spacing w:after="0"/>
              <w:rPr>
                <w:sz w:val="8"/>
                <w:szCs w:val="8"/>
                <w:color w:val="auto"/>
              </w:rPr>
            </w:pPr>
          </w:p>
        </w:tc>
        <w:tc>
          <w:tcPr>
            <w:tcW w:w="72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3060" w:type="dxa"/>
            <w:vAlign w:val="bottom"/>
            <w:tcBorders>
              <w:bottom w:val="single" w:sz="8" w:color="2C2C2C"/>
            </w:tcBorders>
            <w:gridSpan w:val="6"/>
          </w:tcPr>
          <w:p>
            <w:pPr>
              <w:spacing w:after="0"/>
              <w:rPr>
                <w:sz w:val="7"/>
                <w:szCs w:val="7"/>
                <w:color w:val="auto"/>
              </w:rPr>
            </w:pPr>
          </w:p>
        </w:tc>
        <w:tc>
          <w:tcPr>
            <w:tcW w:w="2660" w:type="dxa"/>
            <w:vAlign w:val="bottom"/>
            <w:tcBorders>
              <w:bottom w:val="single" w:sz="8" w:color="2C2C2C"/>
            </w:tcBorders>
            <w:gridSpan w:val="4"/>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90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3"/>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780" w:type="dxa"/>
            <w:vAlign w:val="bottom"/>
            <w:gridSpan w:val="11"/>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90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320" w:type="dxa"/>
            <w:vAlign w:val="bottom"/>
          </w:tcPr>
          <w:p>
            <w:pPr>
              <w:ind w:left="2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1320" w:type="dxa"/>
            <w:vAlign w:val="bottom"/>
          </w:tcPr>
          <w:p>
            <w:pPr>
              <w:ind w:left="26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4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(Month/Day/Year)  if any</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900" w:type="dxa"/>
            <w:vAlign w:val="bottom"/>
          </w:tcPr>
          <w:p>
            <w:pPr>
              <w:spacing w:after="0"/>
              <w:rPr>
                <w:sz w:val="11"/>
                <w:szCs w:val="11"/>
                <w:color w:val="auto"/>
              </w:rPr>
            </w:pPr>
          </w:p>
        </w:tc>
        <w:tc>
          <w:tcPr>
            <w:tcW w:w="1320" w:type="dxa"/>
            <w:vAlign w:val="bottom"/>
          </w:tcPr>
          <w:p>
            <w:pPr>
              <w:ind w:left="26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8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line="134"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6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4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900" w:type="dxa"/>
            <w:vAlign w:val="bottom"/>
            <w:vMerge w:val="restart"/>
          </w:tcPr>
          <w:p>
            <w:pPr>
              <w:jc w:val="right"/>
              <w:spacing w:after="0"/>
              <w:rPr>
                <w:sz w:val="20"/>
                <w:szCs w:val="20"/>
                <w:color w:val="auto"/>
              </w:rPr>
            </w:pPr>
            <w:r>
              <w:rPr>
                <w:rFonts w:ascii="Arial" w:cs="Arial" w:eastAsia="Arial" w:hAnsi="Arial"/>
                <w:sz w:val="13"/>
                <w:szCs w:val="13"/>
                <w:color w:val="0000FF"/>
              </w:rPr>
              <w:t>02/20/2020</w:t>
            </w:r>
          </w:p>
        </w:tc>
        <w:tc>
          <w:tcPr>
            <w:tcW w:w="1320" w:type="dxa"/>
            <w:vAlign w:val="bottom"/>
          </w:tcPr>
          <w:p>
            <w:pPr>
              <w:spacing w:after="0"/>
              <w:rPr>
                <w:sz w:val="16"/>
                <w:szCs w:val="16"/>
                <w:color w:val="auto"/>
              </w:rPr>
            </w:pPr>
          </w:p>
        </w:tc>
        <w:tc>
          <w:tcPr>
            <w:tcW w:w="6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16"/>
                <w:szCs w:val="16"/>
                <w:color w:val="auto"/>
              </w:rPr>
            </w:pPr>
          </w:p>
        </w:tc>
        <w:tc>
          <w:tcPr>
            <w:tcW w:w="480" w:type="dxa"/>
            <w:vAlign w:val="bottom"/>
            <w:vMerge w:val="restart"/>
          </w:tcPr>
          <w:p>
            <w:pPr>
              <w:ind w:left="80"/>
              <w:spacing w:after="0"/>
              <w:rPr>
                <w:sz w:val="20"/>
                <w:szCs w:val="20"/>
                <w:color w:val="auto"/>
              </w:rPr>
            </w:pPr>
            <w:r>
              <w:rPr>
                <w:rFonts w:ascii="Arial" w:cs="Arial" w:eastAsia="Arial" w:hAnsi="Arial"/>
                <w:sz w:val="13"/>
                <w:szCs w:val="13"/>
                <w:color w:val="0000FF"/>
              </w:rPr>
              <w:t>6,830</w:t>
            </w:r>
          </w:p>
        </w:tc>
        <w:tc>
          <w:tcPr>
            <w:tcW w:w="340" w:type="dxa"/>
            <w:vAlign w:val="bottom"/>
          </w:tcPr>
          <w:p>
            <w:pPr>
              <w:spacing w:after="0"/>
              <w:rPr>
                <w:sz w:val="16"/>
                <w:szCs w:val="16"/>
                <w:color w:val="auto"/>
              </w:rPr>
            </w:pPr>
          </w:p>
        </w:tc>
        <w:tc>
          <w:tcPr>
            <w:tcW w:w="82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ind w:left="240"/>
              <w:spacing w:after="0"/>
              <w:rPr>
                <w:sz w:val="20"/>
                <w:szCs w:val="20"/>
                <w:color w:val="auto"/>
              </w:rPr>
            </w:pPr>
            <w:r>
              <w:rPr>
                <w:rFonts w:ascii="Arial" w:cs="Arial" w:eastAsia="Arial" w:hAnsi="Arial"/>
                <w:sz w:val="11"/>
                <w:szCs w:val="11"/>
                <w:color w:val="008000"/>
              </w:rPr>
              <w:t>(1)</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6,830</w:t>
            </w:r>
          </w:p>
        </w:tc>
        <w:tc>
          <w:tcPr>
            <w:tcW w:w="60" w:type="dxa"/>
            <w:vAlign w:val="bottom"/>
          </w:tcPr>
          <w:p>
            <w:pPr>
              <w:spacing w:after="0"/>
              <w:rPr>
                <w:sz w:val="16"/>
                <w:szCs w:val="16"/>
                <w:color w:val="auto"/>
              </w:rPr>
            </w:pPr>
          </w:p>
        </w:tc>
        <w:tc>
          <w:tcPr>
            <w:tcW w:w="720" w:type="dxa"/>
            <w:vAlign w:val="bottom"/>
            <w:gridSpan w:val="2"/>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19,391</w:t>
            </w:r>
          </w:p>
        </w:tc>
        <w:tc>
          <w:tcPr>
            <w:tcW w:w="28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132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34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w w:val="99"/>
              </w:rPr>
              <w:t>Performance</w:t>
            </w:r>
          </w:p>
        </w:tc>
        <w:tc>
          <w:tcPr>
            <w:tcW w:w="84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900" w:type="dxa"/>
            <w:vAlign w:val="bottom"/>
            <w:vMerge w:val="restart"/>
          </w:tcPr>
          <w:p>
            <w:pPr>
              <w:jc w:val="right"/>
              <w:spacing w:after="0"/>
              <w:rPr>
                <w:sz w:val="20"/>
                <w:szCs w:val="20"/>
                <w:color w:val="auto"/>
              </w:rPr>
            </w:pPr>
            <w:r>
              <w:rPr>
                <w:rFonts w:ascii="Arial" w:cs="Arial" w:eastAsia="Arial" w:hAnsi="Arial"/>
                <w:sz w:val="13"/>
                <w:szCs w:val="13"/>
                <w:color w:val="0000FF"/>
              </w:rPr>
              <w:t>02/20/2020</w:t>
            </w:r>
          </w:p>
        </w:tc>
        <w:tc>
          <w:tcPr>
            <w:tcW w:w="1320" w:type="dxa"/>
            <w:vAlign w:val="bottom"/>
          </w:tcPr>
          <w:p>
            <w:pPr>
              <w:spacing w:after="0"/>
              <w:rPr>
                <w:sz w:val="16"/>
                <w:szCs w:val="16"/>
                <w:color w:val="auto"/>
              </w:rPr>
            </w:pPr>
          </w:p>
        </w:tc>
        <w:tc>
          <w:tcPr>
            <w:tcW w:w="6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16"/>
                <w:szCs w:val="16"/>
                <w:color w:val="auto"/>
              </w:rPr>
            </w:pPr>
          </w:p>
        </w:tc>
        <w:tc>
          <w:tcPr>
            <w:tcW w:w="480" w:type="dxa"/>
            <w:vAlign w:val="bottom"/>
            <w:vMerge w:val="restart"/>
          </w:tcPr>
          <w:p>
            <w:pPr>
              <w:ind w:left="80"/>
              <w:spacing w:after="0"/>
              <w:rPr>
                <w:sz w:val="20"/>
                <w:szCs w:val="20"/>
                <w:color w:val="auto"/>
              </w:rPr>
            </w:pPr>
            <w:r>
              <w:rPr>
                <w:rFonts w:ascii="Arial" w:cs="Arial" w:eastAsia="Arial" w:hAnsi="Arial"/>
                <w:sz w:val="13"/>
                <w:szCs w:val="13"/>
                <w:color w:val="0000FF"/>
              </w:rPr>
              <w:t>6,830</w:t>
            </w:r>
          </w:p>
        </w:tc>
        <w:tc>
          <w:tcPr>
            <w:tcW w:w="340" w:type="dxa"/>
            <w:vAlign w:val="bottom"/>
          </w:tcPr>
          <w:p>
            <w:pPr>
              <w:spacing w:after="0"/>
              <w:rPr>
                <w:sz w:val="16"/>
                <w:szCs w:val="16"/>
                <w:color w:val="auto"/>
              </w:rPr>
            </w:pPr>
          </w:p>
        </w:tc>
        <w:tc>
          <w:tcPr>
            <w:tcW w:w="82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660" w:type="dxa"/>
            <w:vAlign w:val="bottom"/>
            <w:vMerge w:val="restart"/>
          </w:tcPr>
          <w:p>
            <w:pPr>
              <w:ind w:left="240"/>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6,830</w:t>
            </w:r>
          </w:p>
        </w:tc>
        <w:tc>
          <w:tcPr>
            <w:tcW w:w="60" w:type="dxa"/>
            <w:vAlign w:val="bottom"/>
          </w:tcPr>
          <w:p>
            <w:pPr>
              <w:spacing w:after="0"/>
              <w:rPr>
                <w:sz w:val="16"/>
                <w:szCs w:val="16"/>
                <w:color w:val="auto"/>
              </w:rPr>
            </w:pPr>
          </w:p>
        </w:tc>
        <w:tc>
          <w:tcPr>
            <w:tcW w:w="720" w:type="dxa"/>
            <w:vAlign w:val="bottom"/>
            <w:gridSpan w:val="2"/>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32,070</w:t>
            </w:r>
          </w:p>
        </w:tc>
        <w:tc>
          <w:tcPr>
            <w:tcW w:w="28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Rights</w:t>
            </w: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132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34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440" w:firstLine="7"/>
        <w:spacing w:after="0" w:line="271"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0" w:lineRule="exact"/>
        <w:rPr>
          <w:rFonts w:ascii="Arial" w:cs="Arial" w:eastAsia="Arial" w:hAnsi="Arial"/>
          <w:sz w:val="13"/>
          <w:szCs w:val="13"/>
          <w:color w:val="008000"/>
        </w:rPr>
      </w:pPr>
    </w:p>
    <w:p>
      <w:pPr>
        <w:ind w:left="40" w:right="220" w:firstLine="7"/>
        <w:spacing w:after="0" w:line="248"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2020 and ending on December 31, 2022 which are: 1) the issuer's relative total shareholder return ("TSR") in comparison to the TSR averages of a predetermined compensation peer group over the performance cycle; and 2) the issuer's return on invested capital ("ROIC") measured against the issuer's ROIC improvement goals under its operating plan. The performance rights may be settled, at the issuer's discretion, in cash or shares of common stock.</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7"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Akshar C. Patel, attorney-in-</w:t>
            </w:r>
          </w:p>
        </w:tc>
        <w:tc>
          <w:tcPr>
            <w:tcW w:w="140" w:type="dxa"/>
            <w:vAlign w:val="bottom"/>
          </w:tcPr>
          <w:p>
            <w:pPr>
              <w:spacing w:after="0"/>
              <w:rPr>
                <w:sz w:val="16"/>
                <w:szCs w:val="16"/>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7"/>
                <w:szCs w:val="17"/>
                <w:color w:val="0000FF"/>
                <w:w w:val="91"/>
              </w:rPr>
              <w:t>02/24/2020</w:t>
            </w:r>
          </w:p>
        </w:tc>
        <w:tc>
          <w:tcPr>
            <w:tcW w:w="0" w:type="dxa"/>
            <w:vAlign w:val="bottom"/>
          </w:tcPr>
          <w:p>
            <w:pPr>
              <w:spacing w:after="0"/>
              <w:rPr>
                <w:sz w:val="1"/>
                <w:szCs w:val="1"/>
                <w:color w:val="auto"/>
              </w:rPr>
            </w:pPr>
          </w:p>
        </w:tc>
      </w:tr>
      <w:tr>
        <w:trPr>
          <w:trHeight w:val="87"/>
        </w:trPr>
        <w:tc>
          <w:tcPr>
            <w:tcW w:w="216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w:t>
            </w: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6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60" w:type="dxa"/>
            <w:vAlign w:val="bottom"/>
            <w:shd w:val="clear" w:color="auto" w:fill="000000"/>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16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4"/>
          <w:szCs w:val="24"/>
          <w:color w:val="auto"/>
        </w:rPr>
      </w:pPr>
    </w:p>
    <w:p>
      <w:pPr>
        <w:jc w:val="both"/>
        <w:ind w:left="40" w:right="37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2020-02-24T16:02:42Z</dcterms:created>
  <dcterms:modified xsi:type="dcterms:W3CDTF">2020-02-24T16:02:42Z</dcterms:modified>
</cp:coreProperties>
</file>