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3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May 7, 2020</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3"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360"/>
        <w:spacing w:after="0"/>
        <w:rPr>
          <w:sz w:val="20"/>
          <w:szCs w:val="20"/>
          <w:color w:val="auto"/>
        </w:rPr>
      </w:pPr>
      <w:r>
        <w:rPr>
          <w:rFonts w:ascii="Arial" w:cs="Arial" w:eastAsia="Arial" w:hAnsi="Arial"/>
          <w:sz w:val="18"/>
          <w:szCs w:val="18"/>
          <w:b w:val="1"/>
          <w:bCs w:val="1"/>
          <w:color w:val="auto"/>
        </w:rPr>
        <w:t>001-13179</w:t>
      </w:r>
    </w:p>
    <w:p>
      <w:pPr>
        <w:spacing w:after="0" w:line="27" w:lineRule="exact"/>
        <w:rPr>
          <w:sz w:val="24"/>
          <w:szCs w:val="24"/>
          <w:color w:val="auto"/>
        </w:rPr>
      </w:pPr>
    </w:p>
    <w:p>
      <w:pPr>
        <w:jc w:val="center"/>
        <w:ind w:right="13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31-0267900</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3900" w:space="720"/>
            <w:col w:w="3360" w:space="720"/>
            <w:col w:w="2540"/>
          </w:cols>
          <w:pgMar w:left="320" w:top="593" w:right="339" w:bottom="1440" w:gutter="0" w:footer="0" w:header="0"/>
          <w:type w:val="continuous"/>
        </w:sectPr>
      </w:pPr>
    </w:p>
    <w:p>
      <w:pPr>
        <w:spacing w:after="0" w:line="34" w:lineRule="exact"/>
        <w:rPr>
          <w:sz w:val="24"/>
          <w:szCs w:val="24"/>
          <w:color w:val="auto"/>
        </w:rPr>
      </w:pPr>
    </w:p>
    <w:p>
      <w:pPr>
        <w:jc w:val="center"/>
        <w:ind w:right="1680"/>
        <w:spacing w:after="0"/>
        <w:rPr>
          <w:sz w:val="20"/>
          <w:szCs w:val="20"/>
          <w:color w:val="auto"/>
        </w:rPr>
      </w:pPr>
      <w:r>
        <w:rPr>
          <w:rFonts w:ascii="Arial" w:cs="Arial" w:eastAsia="Arial" w:hAnsi="Arial"/>
          <w:sz w:val="16"/>
          <w:szCs w:val="16"/>
          <w:b w:val="1"/>
          <w:bCs w:val="1"/>
          <w:color w:val="auto"/>
        </w:rPr>
        <w:t>5215 N. O’Connor Blvd., Suite 2300, Irving, Texas</w:t>
      </w:r>
    </w:p>
    <w:p>
      <w:pPr>
        <w:spacing w:after="0" w:line="50" w:lineRule="exact"/>
        <w:rPr>
          <w:sz w:val="24"/>
          <w:szCs w:val="24"/>
          <w:color w:val="auto"/>
        </w:rPr>
      </w:pPr>
    </w:p>
    <w:p>
      <w:pPr>
        <w:jc w:val="center"/>
        <w:ind w:right="168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75039</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320" w:space="720"/>
            <w:col w:w="3200"/>
          </w:cols>
          <w:pgMar w:left="320" w:top="593"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(972) 443-6500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6"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28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1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$1.25 Par Value</w:t>
            </w:r>
          </w:p>
        </w:tc>
        <w:tc>
          <w:tcPr>
            <w:tcW w:w="28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FLS</w:t>
            </w:r>
          </w:p>
        </w:tc>
        <w:tc>
          <w:tcPr>
            <w:tcW w:w="41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1.25% Senior Notes due 2022</w:t>
            </w:r>
          </w:p>
        </w:tc>
        <w:tc>
          <w:tcPr>
            <w:tcW w:w="28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FLS22A</w:t>
            </w:r>
          </w:p>
        </w:tc>
        <w:tc>
          <w:tcPr>
            <w:tcW w:w="41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101"/>
        </w:trPr>
        <w:tc>
          <w:tcPr>
            <w:tcW w:w="4240" w:type="dxa"/>
            <w:vAlign w:val="bottom"/>
            <w:tcBorders>
              <w:bottom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180" w:type="dxa"/>
            <w:vAlign w:val="bottom"/>
            <w:tcBorders>
              <w:bottom w:val="single" w:sz="8" w:color="auto"/>
            </w:tcBorders>
          </w:tcPr>
          <w:p>
            <w:pPr>
              <w:spacing w:after="0"/>
              <w:rPr>
                <w:sz w:val="8"/>
                <w:szCs w:val="8"/>
                <w:color w:val="auto"/>
              </w:rPr>
            </w:pPr>
          </w:p>
        </w:tc>
      </w:tr>
    </w:tbl>
    <w:p>
      <w:pPr>
        <w:spacing w:after="0" w:line="296" w:lineRule="exact"/>
        <w:rPr>
          <w:sz w:val="24"/>
          <w:szCs w:val="24"/>
          <w:color w:val="auto"/>
        </w:rPr>
      </w:pPr>
    </w:p>
    <w:p>
      <w:pPr>
        <w:ind w:right="680"/>
        <w:spacing w:after="0" w:line="2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ind w:right="140"/>
        <w:spacing w:after="0" w:line="224"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83"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On May 7, 2020, Flowserve Corporation, a New York corporation (the “Company”), issued a press release announcing financial results for its first quarter ended March 31, 2020. A copy of this press release is attached as Exhibit 99.1 and incorporated herein by reference.</w:t>
      </w:r>
    </w:p>
    <w:p>
      <w:pPr>
        <w:spacing w:after="0" w:line="20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8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May 8, 2020, the Company will make a presentation about its financial and operating results for the first quarter of 2020, as noted in the press release described in Item 2.02 above. The Company has posted the presentation on its website at http://www.flowserve.com under the “Investor Relations” section.</w:t>
      </w:r>
    </w:p>
    <w:p>
      <w:pPr>
        <w:spacing w:after="0" w:line="23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7.01 of Form 8-K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324" w:lineRule="exact"/>
        <w:rPr>
          <w:sz w:val="20"/>
          <w:szCs w:val="20"/>
          <w:color w:val="auto"/>
        </w:rPr>
      </w:pPr>
    </w:p>
    <w:p>
      <w:pPr>
        <w:ind w:left="440" w:hanging="432"/>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3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Exhibit No.</w:t>
            </w:r>
          </w:p>
        </w:tc>
        <w:tc>
          <w:tcPr>
            <w:tcW w:w="900" w:type="dxa"/>
            <w:vAlign w:val="bottom"/>
          </w:tcPr>
          <w:p>
            <w:pPr>
              <w:spacing w:after="0"/>
              <w:rPr>
                <w:sz w:val="20"/>
                <w:szCs w:val="20"/>
                <w:color w:val="auto"/>
              </w:rPr>
            </w:pPr>
          </w:p>
        </w:tc>
        <w:tc>
          <w:tcPr>
            <w:tcW w:w="7860" w:type="dxa"/>
            <w:vAlign w:val="bottom"/>
            <w:tcBorders>
              <w:bottom w:val="single" w:sz="8" w:color="auto"/>
            </w:tcBorders>
          </w:tcPr>
          <w:p>
            <w:pPr>
              <w:ind w:left="3480"/>
              <w:spacing w:after="0"/>
              <w:rPr>
                <w:sz w:val="20"/>
                <w:szCs w:val="20"/>
                <w:color w:val="auto"/>
              </w:rPr>
            </w:pPr>
            <w:r>
              <w:rPr>
                <w:rFonts w:ascii="Arial" w:cs="Arial" w:eastAsia="Arial" w:hAnsi="Arial"/>
                <w:sz w:val="18"/>
                <w:szCs w:val="18"/>
                <w:b w:val="1"/>
                <w:bCs w:val="1"/>
                <w:color w:val="auto"/>
              </w:rPr>
              <w:t>Description</w:t>
            </w:r>
          </w:p>
        </w:tc>
        <w:tc>
          <w:tcPr>
            <w:tcW w:w="1120" w:type="dxa"/>
            <w:vAlign w:val="bottom"/>
          </w:tcPr>
          <w:p>
            <w:pPr>
              <w:spacing w:after="0"/>
              <w:rPr>
                <w:sz w:val="20"/>
                <w:szCs w:val="20"/>
                <w:color w:val="auto"/>
              </w:rPr>
            </w:pPr>
          </w:p>
        </w:tc>
      </w:tr>
      <w:tr>
        <w:trPr>
          <w:trHeight w:val="432"/>
        </w:trPr>
        <w:tc>
          <w:tcPr>
            <w:tcW w:w="1360" w:type="dxa"/>
            <w:vAlign w:val="bottom"/>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w:t>
              </w:r>
            </w:hyperlink>
          </w:p>
        </w:tc>
        <w:tc>
          <w:tcPr>
            <w:tcW w:w="8760" w:type="dxa"/>
            <w:vAlign w:val="bottom"/>
            <w:gridSpan w:val="2"/>
          </w:tcPr>
          <w:p>
            <w:pPr>
              <w:ind w:left="90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Press Release, dated May 7, 2020.</w:t>
              </w:r>
            </w:hyperlink>
          </w:p>
        </w:tc>
        <w:tc>
          <w:tcPr>
            <w:tcW w:w="1120" w:type="dxa"/>
            <w:vAlign w:val="bottom"/>
          </w:tcPr>
          <w:p>
            <w:pPr>
              <w:spacing w:after="0"/>
              <w:rPr>
                <w:sz w:val="24"/>
                <w:szCs w:val="24"/>
                <w:color w:val="auto"/>
              </w:rPr>
            </w:pPr>
          </w:p>
        </w:tc>
      </w:tr>
      <w:tr>
        <w:trPr>
          <w:trHeight w:val="425"/>
        </w:trPr>
        <w:tc>
          <w:tcPr>
            <w:tcW w:w="13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78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83"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p>
        </w:tc>
        <w:tc>
          <w:tcPr>
            <w:tcW w:w="5920" w:type="dxa"/>
            <w:vAlign w:val="bottom"/>
            <w:gridSpan w:val="3"/>
          </w:tcPr>
          <w:p>
            <w:pPr>
              <w:ind w:left="2100"/>
              <w:spacing w:after="0"/>
              <w:rPr>
                <w:sz w:val="20"/>
                <w:szCs w:val="20"/>
                <w:color w:val="auto"/>
              </w:rPr>
            </w:pPr>
            <w:r>
              <w:rPr>
                <w:rFonts w:ascii="Arial" w:cs="Arial" w:eastAsia="Arial" w:hAnsi="Arial"/>
                <w:sz w:val="18"/>
                <w:szCs w:val="18"/>
                <w:color w:val="auto"/>
              </w:rPr>
              <w:t>FLOWSERVE CORPORATION</w:t>
            </w:r>
          </w:p>
        </w:tc>
      </w:tr>
      <w:tr>
        <w:trPr>
          <w:trHeight w:val="823"/>
        </w:trPr>
        <w:tc>
          <w:tcPr>
            <w:tcW w:w="3540" w:type="dxa"/>
            <w:vAlign w:val="bottom"/>
          </w:tcPr>
          <w:p>
            <w:pPr>
              <w:spacing w:after="0"/>
              <w:rPr>
                <w:sz w:val="20"/>
                <w:szCs w:val="20"/>
                <w:color w:val="auto"/>
              </w:rPr>
            </w:pPr>
            <w:r>
              <w:rPr>
                <w:rFonts w:ascii="Arial" w:cs="Arial" w:eastAsia="Arial" w:hAnsi="Arial"/>
                <w:sz w:val="18"/>
                <w:szCs w:val="18"/>
                <w:color w:val="auto"/>
              </w:rPr>
              <w:t>Dated: May 7, 2020</w:t>
            </w:r>
          </w:p>
        </w:tc>
        <w:tc>
          <w:tcPr>
            <w:tcW w:w="5920" w:type="dxa"/>
            <w:vAlign w:val="bottom"/>
            <w:gridSpan w:val="3"/>
          </w:tcPr>
          <w:p>
            <w:pPr>
              <w:ind w:left="2100"/>
              <w:spacing w:after="0"/>
              <w:rPr>
                <w:sz w:val="20"/>
                <w:szCs w:val="20"/>
                <w:color w:val="auto"/>
              </w:rPr>
            </w:pPr>
            <w:r>
              <w:rPr>
                <w:rFonts w:ascii="Arial" w:cs="Arial" w:eastAsia="Arial" w:hAnsi="Arial"/>
                <w:sz w:val="18"/>
                <w:szCs w:val="18"/>
                <w:color w:val="auto"/>
              </w:rPr>
              <w:t>By:   /s/ AMY B. SCHWETZ</w:t>
            </w:r>
          </w:p>
        </w:tc>
      </w:tr>
      <w:tr>
        <w:trPr>
          <w:trHeight w:val="222"/>
        </w:trPr>
        <w:tc>
          <w:tcPr>
            <w:tcW w:w="354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264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Amy B. Schwetz</w:t>
            </w:r>
          </w:p>
        </w:tc>
        <w:tc>
          <w:tcPr>
            <w:tcW w:w="860" w:type="dxa"/>
            <w:vAlign w:val="bottom"/>
          </w:tcPr>
          <w:p>
            <w:pPr>
              <w:spacing w:after="0"/>
              <w:rPr>
                <w:sz w:val="19"/>
                <w:szCs w:val="19"/>
                <w:color w:val="auto"/>
              </w:rPr>
            </w:pPr>
          </w:p>
        </w:tc>
      </w:tr>
      <w:tr>
        <w:trPr>
          <w:trHeight w:val="230"/>
        </w:trPr>
        <w:tc>
          <w:tcPr>
            <w:tcW w:w="354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3500" w:type="dxa"/>
            <w:vAlign w:val="bottom"/>
            <w:gridSpan w:val="2"/>
          </w:tcPr>
          <w:p>
            <w:pPr>
              <w:ind w:left="180"/>
              <w:spacing w:after="0"/>
              <w:rPr>
                <w:sz w:val="20"/>
                <w:szCs w:val="20"/>
                <w:color w:val="auto"/>
              </w:rPr>
            </w:pPr>
            <w:r>
              <w:rPr>
                <w:rFonts w:ascii="Arial" w:cs="Arial" w:eastAsia="Arial" w:hAnsi="Arial"/>
                <w:sz w:val="18"/>
                <w:szCs w:val="18"/>
                <w:color w:val="auto"/>
                <w:w w:val="91"/>
              </w:rPr>
              <w:t>Senior Vice President, Chief Financial Officer</w:t>
            </w:r>
          </w:p>
        </w:tc>
      </w:tr>
    </w:tbl>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23"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Flowserve Corporation Reports First Quarter 2020 Results and Updates COVID-19 Response</w:t>
      </w:r>
    </w:p>
    <w:p>
      <w:pPr>
        <w:spacing w:after="0" w:line="233"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Taking action in response to COVID-19 while executing on Flowserve 2.0 transformation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-82550</wp:posOffset>
            </wp:positionV>
            <wp:extent cx="42545" cy="43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Bookings of $976.9 million produced a book-to-bill over 1.09 and backlog growth of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-82550</wp:posOffset>
            </wp:positionV>
            <wp:extent cx="42545" cy="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pacing w:after="0" w:line="186" w:lineRule="exact"/>
        <w:rPr>
          <w:sz w:val="20"/>
          <w:szCs w:val="20"/>
          <w:color w:val="auto"/>
        </w:rPr>
      </w:pPr>
    </w:p>
    <w:p>
      <w:pPr>
        <w:ind w:left="540" w:right="280"/>
        <w:spacing w:after="0" w:line="256" w:lineRule="auto"/>
        <w:rPr>
          <w:sz w:val="20"/>
          <w:szCs w:val="20"/>
          <w:color w:val="auto"/>
        </w:rPr>
      </w:pPr>
      <w:r>
        <w:rPr>
          <w:rFonts w:ascii="Arial" w:cs="Arial" w:eastAsia="Arial" w:hAnsi="Arial"/>
          <w:sz w:val="22"/>
          <w:szCs w:val="22"/>
          <w:b w:val="1"/>
          <w:bCs w:val="1"/>
          <w:color w:val="auto"/>
        </w:rPr>
        <w:t>First Quarter GAAP EPS was break-even, and Adjusted EPS of $0.21, reflecting significant impact of COVID-19 and associated temporary site closures of approximately $0.19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-264795</wp:posOffset>
            </wp:positionV>
            <wp:extent cx="42545" cy="431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pacing w:after="0" w:line="142" w:lineRule="exact"/>
        <w:rPr>
          <w:sz w:val="20"/>
          <w:szCs w:val="20"/>
          <w:color w:val="auto"/>
        </w:rPr>
      </w:pPr>
    </w:p>
    <w:p>
      <w:pPr>
        <w:ind w:left="540" w:right="600"/>
        <w:spacing w:after="0" w:line="256" w:lineRule="auto"/>
        <w:rPr>
          <w:sz w:val="20"/>
          <w:szCs w:val="20"/>
          <w:color w:val="auto"/>
        </w:rPr>
      </w:pPr>
      <w:r>
        <w:rPr>
          <w:rFonts w:ascii="Arial" w:cs="Arial" w:eastAsia="Arial" w:hAnsi="Arial"/>
          <w:sz w:val="22"/>
          <w:szCs w:val="22"/>
          <w:b w:val="1"/>
          <w:bCs w:val="1"/>
          <w:color w:val="auto"/>
        </w:rPr>
        <w:t>Delivered solid free cash flow of $30 million in seasonally weak first quarter with continued strong liquidity in excess of $1.3 billion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-264795</wp:posOffset>
            </wp:positionV>
            <wp:extent cx="42545" cy="431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pacing w:after="0" w:line="142" w:lineRule="exact"/>
        <w:rPr>
          <w:sz w:val="20"/>
          <w:szCs w:val="20"/>
          <w:color w:val="auto"/>
        </w:rPr>
      </w:pPr>
    </w:p>
    <w:p>
      <w:pPr>
        <w:ind w:left="540" w:right="760"/>
        <w:spacing w:after="0" w:line="256" w:lineRule="auto"/>
        <w:rPr>
          <w:sz w:val="20"/>
          <w:szCs w:val="20"/>
          <w:color w:val="auto"/>
        </w:rPr>
      </w:pPr>
      <w:r>
        <w:rPr>
          <w:rFonts w:ascii="Arial" w:cs="Arial" w:eastAsia="Arial" w:hAnsi="Arial"/>
          <w:sz w:val="22"/>
          <w:szCs w:val="22"/>
          <w:b w:val="1"/>
          <w:bCs w:val="1"/>
          <w:color w:val="auto"/>
        </w:rPr>
        <w:t>Initiating $100 million of aggressive cost actions, including both structural and temporary 2020 initiatives in response to current market environment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-264795</wp:posOffset>
            </wp:positionV>
            <wp:extent cx="42545" cy="431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pacing w:after="0" w:line="148" w:lineRule="exact"/>
        <w:rPr>
          <w:sz w:val="20"/>
          <w:szCs w:val="20"/>
          <w:color w:val="auto"/>
        </w:rPr>
      </w:pPr>
    </w:p>
    <w:p>
      <w:pPr>
        <w:spacing w:after="0"/>
        <w:rPr>
          <w:sz w:val="20"/>
          <w:szCs w:val="20"/>
          <w:color w:val="auto"/>
        </w:rPr>
      </w:pPr>
      <w:r>
        <w:rPr>
          <w:rFonts w:ascii="Arial" w:cs="Arial" w:eastAsia="Arial" w:hAnsi="Arial"/>
          <w:sz w:val="22"/>
          <w:szCs w:val="22"/>
          <w:color w:val="auto"/>
        </w:rPr>
        <w:t>DALLAS--(BUSINESS WIRE)--May 7, 2020--Flowserve Corporation (NYSE: FLS), a leading provider of flow control products and services for the global infrastructure markets, today announced its financial results for the first quarter ended March 31, 2020.</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2020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2019 first quarter, unless otherwise noted)</w:t>
      </w:r>
    </w:p>
    <w:p>
      <w:pPr>
        <w:spacing w:after="0" w:line="7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of $0.00 and Adjusted EPS</w:t>
      </w:r>
      <w:r>
        <w:rPr>
          <w:rFonts w:ascii="Arial" w:cs="Arial" w:eastAsia="Arial" w:hAnsi="Arial"/>
          <w:sz w:val="35"/>
          <w:szCs w:val="35"/>
          <w:color w:val="auto"/>
          <w:vertAlign w:val="superscript"/>
        </w:rPr>
        <w:t>[1]</w:t>
      </w:r>
      <w:r>
        <w:rPr>
          <w:rFonts w:ascii="Arial" w:cs="Arial" w:eastAsia="Arial" w:hAnsi="Arial"/>
          <w:sz w:val="22"/>
          <w:szCs w:val="22"/>
          <w:color w:val="auto"/>
        </w:rPr>
        <w:t xml:space="preserve"> of $0.21, down 48.8%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-91440</wp:posOffset>
            </wp:positionV>
            <wp:extent cx="42545" cy="431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ind w:left="1080" w:right="40"/>
        <w:spacing w:after="0" w:line="230" w:lineRule="auto"/>
        <w:rPr>
          <w:sz w:val="20"/>
          <w:szCs w:val="20"/>
          <w:color w:val="auto"/>
        </w:rPr>
      </w:pPr>
      <w:r>
        <w:rPr>
          <w:rFonts w:ascii="Arial" w:cs="Arial" w:eastAsia="Arial" w:hAnsi="Arial"/>
          <w:sz w:val="22"/>
          <w:szCs w:val="22"/>
          <w:color w:val="auto"/>
        </w:rPr>
        <w:t>Reported EPS includes after-tax adjusted items of approximately $28 million, including realignment, transformation, below-the-line foreign exchange impacts and certain non-cash impairments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-245110</wp:posOffset>
            </wp:positionV>
            <wp:extent cx="43180" cy="431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3180" cy="43180"/>
                    </a:xfrm>
                    <a:prstGeom prst="rect">
                      <a:avLst/>
                    </a:prstGeom>
                    <a:noFill/>
                  </pic:spPr>
                </pic:pic>
              </a:graphicData>
            </a:graphic>
          </wp:anchor>
        </w:drawing>
      </w:r>
    </w:p>
    <w:p>
      <w:pPr>
        <w:ind w:left="1080" w:right="180"/>
        <w:spacing w:after="0" w:line="256" w:lineRule="auto"/>
        <w:rPr>
          <w:sz w:val="20"/>
          <w:szCs w:val="20"/>
          <w:color w:val="auto"/>
        </w:rPr>
      </w:pPr>
      <w:r>
        <w:rPr>
          <w:rFonts w:ascii="Arial" w:cs="Arial" w:eastAsia="Arial" w:hAnsi="Arial"/>
          <w:sz w:val="21"/>
          <w:szCs w:val="21"/>
          <w:color w:val="auto"/>
        </w:rPr>
        <w:t>Both reported and Adjusted EPS include the impact of COVID-19 of approximately $74 million and $25 million of deferred revenue and profit, respectively, as well as $8.4 million of discrete costs in the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-264160</wp:posOffset>
            </wp:positionV>
            <wp:extent cx="4318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3180" cy="42545"/>
                    </a:xfrm>
                    <a:prstGeom prst="rect">
                      <a:avLst/>
                    </a:prstGeom>
                    <a:noFill/>
                  </pic:spPr>
                </pic:pic>
              </a:graphicData>
            </a:graphic>
          </wp:anchor>
        </w:drawing>
      </w:r>
    </w:p>
    <w:p>
      <w:pPr>
        <w:spacing w:after="0" w:line="14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Total bookings were $976.9 million, down 8.4%, or 6.6%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-86360</wp:posOffset>
            </wp:positionV>
            <wp:extent cx="42545" cy="431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ind w:left="1080" w:right="280"/>
        <w:spacing w:after="0" w:line="230" w:lineRule="auto"/>
        <w:rPr>
          <w:sz w:val="20"/>
          <w:szCs w:val="20"/>
          <w:color w:val="auto"/>
        </w:rPr>
      </w:pPr>
      <w:r>
        <w:rPr>
          <w:rFonts w:ascii="Arial" w:cs="Arial" w:eastAsia="Arial" w:hAnsi="Arial"/>
          <w:sz w:val="22"/>
          <w:szCs w:val="22"/>
          <w:color w:val="auto"/>
        </w:rPr>
        <w:t>Original equipment bookings were $474.8 million, or 49% of total bookings, down 14.6%, or 12.9%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-245110</wp:posOffset>
            </wp:positionV>
            <wp:extent cx="43180" cy="43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3180" cy="43180"/>
                    </a:xfrm>
                    <a:prstGeom prst="rect">
                      <a:avLst/>
                    </a:prstGeom>
                    <a:noFill/>
                  </pic:spPr>
                </pic:pic>
              </a:graphicData>
            </a:graphic>
          </wp:anchor>
        </w:drawing>
      </w:r>
    </w:p>
    <w:p>
      <w:pPr>
        <w:ind w:left="1080" w:right="40"/>
        <w:spacing w:after="0" w:line="236" w:lineRule="auto"/>
        <w:rPr>
          <w:sz w:val="20"/>
          <w:szCs w:val="20"/>
          <w:color w:val="auto"/>
        </w:rPr>
      </w:pPr>
      <w:r>
        <w:rPr>
          <w:rFonts w:ascii="Arial" w:cs="Arial" w:eastAsia="Arial" w:hAnsi="Arial"/>
          <w:sz w:val="22"/>
          <w:szCs w:val="22"/>
          <w:color w:val="auto"/>
        </w:rPr>
        <w:t>Aftermarket bookings were $502.0 million, or 51% of total bookings, down 1.7%, or up 0.3%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-253365</wp:posOffset>
            </wp:positionV>
            <wp:extent cx="43180" cy="431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3180" cy="43180"/>
                    </a:xfrm>
                    <a:prstGeom prst="rect">
                      <a:avLst/>
                    </a:prstGeom>
                    <a:noFill/>
                  </pic:spPr>
                </pic:pic>
              </a:graphicData>
            </a:graphic>
          </wp:anchor>
        </w:drawing>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Sales were $894.5 million, up 0.5%, or 2.2%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-86360</wp:posOffset>
            </wp:positionV>
            <wp:extent cx="42545" cy="431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ind w:left="1080" w:right="2080"/>
        <w:spacing w:after="0" w:line="308" w:lineRule="auto"/>
        <w:rPr>
          <w:sz w:val="20"/>
          <w:szCs w:val="20"/>
          <w:color w:val="auto"/>
        </w:rPr>
      </w:pPr>
      <w:r>
        <w:rPr>
          <w:rFonts w:ascii="Arial" w:cs="Arial" w:eastAsia="Arial" w:hAnsi="Arial"/>
          <w:sz w:val="19"/>
          <w:szCs w:val="19"/>
          <w:color w:val="auto"/>
        </w:rPr>
        <w:t>Original equipment sales were $452.3 million, up 7.7%, or 9.5% on a constant currency basis Aftermarket sales were $442.2 million, down 6.0%, or 4.3%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-293370</wp:posOffset>
            </wp:positionV>
            <wp:extent cx="43180" cy="431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3180" cy="43180"/>
                    </a:xfrm>
                    <a:prstGeom prst="rect">
                      <a:avLst/>
                    </a:prstGeom>
                    <a:noFill/>
                  </pic:spPr>
                </pic:pic>
              </a:graphicData>
            </a:graphic>
          </wp:anchor>
        </w:drawing>
        <w:drawing>
          <wp:anchor simplePos="0" relativeHeight="251657728" behindDoc="1" locked="0" layoutInCell="0" allowOverlap="1">
            <wp:simplePos x="0" y="0"/>
            <wp:positionH relativeFrom="column">
              <wp:posOffset>553720</wp:posOffset>
            </wp:positionH>
            <wp:positionV relativeFrom="paragraph">
              <wp:posOffset>-139065</wp:posOffset>
            </wp:positionV>
            <wp:extent cx="43180" cy="431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3180" cy="43180"/>
                    </a:xfrm>
                    <a:prstGeom prst="rect">
                      <a:avLst/>
                    </a:prstGeom>
                    <a:noFill/>
                  </pic:spPr>
                </pic:pic>
              </a:graphicData>
            </a:graphic>
          </wp:anchor>
        </w:drawing>
      </w:r>
    </w:p>
    <w:p>
      <w:pPr>
        <w:spacing w:after="0" w:line="10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gross and operating margins were 29.7% and 2.9%,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-86360</wp:posOffset>
            </wp:positionV>
            <wp:extent cx="42545" cy="431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5"/>
          <w:szCs w:val="35"/>
          <w:color w:val="auto"/>
          <w:vertAlign w:val="superscript"/>
        </w:rPr>
        <w:t>[2]</w:t>
      </w:r>
      <w:r>
        <w:rPr>
          <w:rFonts w:ascii="Arial" w:cs="Arial" w:eastAsia="Arial" w:hAnsi="Arial"/>
          <w:sz w:val="22"/>
          <w:szCs w:val="22"/>
          <w:color w:val="auto"/>
        </w:rPr>
        <w:t xml:space="preserve"> were 30.8% and 5.9%,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553720</wp:posOffset>
            </wp:positionH>
            <wp:positionV relativeFrom="paragraph">
              <wp:posOffset>-187325</wp:posOffset>
            </wp:positionV>
            <wp:extent cx="43180" cy="431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43180" cy="43180"/>
                    </a:xfrm>
                    <a:prstGeom prst="rect">
                      <a:avLst/>
                    </a:prstGeom>
                    <a:noFill/>
                  </pic:spPr>
                </pic:pic>
              </a:graphicData>
            </a:graphic>
          </wp:anchor>
        </w:drawing>
      </w:r>
    </w:p>
    <w:p>
      <w:pPr>
        <w:spacing w:after="0" w:line="32" w:lineRule="exact"/>
        <w:rPr>
          <w:sz w:val="20"/>
          <w:szCs w:val="20"/>
          <w:color w:val="auto"/>
        </w:rPr>
      </w:pPr>
    </w:p>
    <w:p>
      <w:pPr>
        <w:ind w:left="540"/>
        <w:spacing w:after="0"/>
        <w:rPr>
          <w:sz w:val="20"/>
          <w:szCs w:val="20"/>
          <w:color w:val="auto"/>
        </w:rPr>
      </w:pPr>
      <w:r>
        <w:rPr>
          <w:rFonts w:ascii="Arial" w:cs="Arial" w:eastAsia="Arial" w:hAnsi="Arial"/>
          <w:sz w:val="22"/>
          <w:szCs w:val="22"/>
          <w:color w:val="auto"/>
        </w:rPr>
        <w:t>Backlog at March 31, 2020 was $2.18 billion, up 1.2% compared to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140970</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-89535</wp:posOffset>
            </wp:positionV>
            <wp:extent cx="42545" cy="431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2545" cy="4318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spacing w:after="0" w:line="245" w:lineRule="auto"/>
        <w:rPr>
          <w:sz w:val="20"/>
          <w:szCs w:val="20"/>
          <w:color w:val="auto"/>
        </w:rPr>
      </w:pPr>
      <w:r>
        <w:rPr>
          <w:rFonts w:ascii="Arial" w:cs="Arial" w:eastAsia="Arial" w:hAnsi="Arial"/>
          <w:sz w:val="21"/>
          <w:szCs w:val="21"/>
          <w:color w:val="auto"/>
        </w:rPr>
        <w:t>“Flowserve’s products and services are classified as essential in the majority of the locations in which we operate, and while most of our operating facilities have been impacted to varying degrees, we have taken extraordinary precautions to maintain business continuity and protect our associates,” said Scott Rowe, Flowserve’s president and chief executive officer. “Despite significant disruption in the first quarter and in early April, we have most of our facilities open and operational with the exception of our Indian manufacturing locations. As a company, we are rapidly adapting to this new environment across the globe and improving our ability to operate every day. Additionally, we are aggressively taking cost out of our business to ensure our cost structure aligns with the current environment. While we expect further disruption due to the ongoing market uncertainty, our core strategy remains in place, and we continue to build on the fundamental operational improvements that began with our Flowserve 2.0 transformation journey.”</w:t>
      </w:r>
    </w:p>
    <w:p>
      <w:pPr>
        <w:spacing w:after="0" w:line="184" w:lineRule="exact"/>
        <w:rPr>
          <w:sz w:val="20"/>
          <w:szCs w:val="20"/>
          <w:color w:val="auto"/>
        </w:rPr>
      </w:pPr>
    </w:p>
    <w:p>
      <w:pPr>
        <w:ind w:right="80"/>
        <w:spacing w:after="0" w:line="238" w:lineRule="auto"/>
        <w:rPr>
          <w:sz w:val="20"/>
          <w:szCs w:val="20"/>
          <w:color w:val="auto"/>
        </w:rPr>
      </w:pPr>
      <w:r>
        <w:rPr>
          <w:rFonts w:ascii="Arial" w:cs="Arial" w:eastAsia="Arial" w:hAnsi="Arial"/>
          <w:sz w:val="22"/>
          <w:szCs w:val="22"/>
          <w:color w:val="auto"/>
        </w:rPr>
        <w:t>Rowe added, “The health and safety of our associates, suppliers and customers has remained Flowserve’s highest priority as we take action to manage the unprecedented impact from this global pandemic. I am extremely proud of our global leadership teams who, in the face of significant uncertainty and disruption, remain focused on delivering critical support, products and services that our customers expect.”</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Liquidity and Capital Priorities</w:t>
      </w:r>
    </w:p>
    <w:p>
      <w:pPr>
        <w:spacing w:after="0" w:line="14" w:lineRule="exact"/>
        <w:rPr>
          <w:sz w:val="20"/>
          <w:szCs w:val="20"/>
          <w:color w:val="auto"/>
        </w:rPr>
      </w:pPr>
    </w:p>
    <w:p>
      <w:pPr>
        <w:ind w:right="80"/>
        <w:spacing w:after="0" w:line="273" w:lineRule="auto"/>
        <w:rPr>
          <w:sz w:val="20"/>
          <w:szCs w:val="20"/>
          <w:color w:val="auto"/>
        </w:rPr>
      </w:pPr>
      <w:r>
        <w:rPr>
          <w:rFonts w:ascii="Arial" w:cs="Arial" w:eastAsia="Arial" w:hAnsi="Arial"/>
          <w:sz w:val="19"/>
          <w:szCs w:val="19"/>
          <w:color w:val="auto"/>
        </w:rPr>
        <w:t>Flowserve maintained a strong balance sheet, ending the first quarter with available liquidity of $1.3 billion, including $622 million of cash and cash equivalents and $721 million of available capacity under the company’s revolving credit facility. Flowserve also maintains an investment grade credit rating and has no material debt maturities until March 2022. We are confident in our ability to generate free cash flow and have already taken actions to preserve cash, including elimination of merit increases and non-essential travel, initiating a hiring freeze, and reducing other discretionary spending, as well as plans to keep our capital expenditures below $60 million in 2020. Additionally, we will continue to take further actions to right-size our operations to the current market environment as we work through the customer commitments in our backlog.</w:t>
      </w:r>
    </w:p>
    <w:p>
      <w:pPr>
        <w:spacing w:after="0" w:line="153"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Outlook</w:t>
      </w:r>
    </w:p>
    <w:p>
      <w:pPr>
        <w:spacing w:after="0" w:line="14" w:lineRule="exact"/>
        <w:rPr>
          <w:sz w:val="20"/>
          <w:szCs w:val="20"/>
          <w:color w:val="auto"/>
        </w:rPr>
      </w:pPr>
    </w:p>
    <w:p>
      <w:pPr>
        <w:ind w:right="180"/>
        <w:spacing w:after="0" w:line="244" w:lineRule="auto"/>
        <w:rPr>
          <w:sz w:val="20"/>
          <w:szCs w:val="20"/>
          <w:color w:val="auto"/>
        </w:rPr>
      </w:pPr>
      <w:r>
        <w:rPr>
          <w:rFonts w:ascii="Arial" w:cs="Arial" w:eastAsia="Arial" w:hAnsi="Arial"/>
          <w:sz w:val="21"/>
          <w:szCs w:val="21"/>
          <w:color w:val="auto"/>
        </w:rPr>
        <w:t>Rowe concluded, “Despite the magnitude of this crisis, we are better positioned to navigate this environment thanks to the progress we have made on our Flowserve 2.0 transformation, and I am confident we will continue to build on our achievements in the new environment. While our markets have been significantly impacted, our underlying financial position remains strong and we expect to deliver our robust backlog, continue to support our customers, and provide service and support for our global installed base of equipment. We are committed to taking the necessary measures to best position Flowserve to drive long-term value creation for our customers, associates and shareholders.”</w:t>
      </w:r>
    </w:p>
    <w:p>
      <w:pPr>
        <w:spacing w:after="0" w:line="183" w:lineRule="exact"/>
        <w:rPr>
          <w:sz w:val="20"/>
          <w:szCs w:val="20"/>
          <w:color w:val="auto"/>
        </w:rPr>
      </w:pPr>
    </w:p>
    <w:p>
      <w:pPr>
        <w:ind w:right="20"/>
        <w:spacing w:after="0" w:line="250" w:lineRule="auto"/>
        <w:rPr>
          <w:sz w:val="20"/>
          <w:szCs w:val="20"/>
          <w:color w:val="auto"/>
        </w:rPr>
      </w:pPr>
      <w:r>
        <w:rPr>
          <w:rFonts w:ascii="Arial" w:cs="Arial" w:eastAsia="Arial" w:hAnsi="Arial"/>
          <w:sz w:val="22"/>
          <w:szCs w:val="22"/>
          <w:color w:val="auto"/>
        </w:rPr>
        <w:t>As announced on April 6, 2020, Flowserve withdrew its full year 2020 guidance in light of the significant market uncertainty as a result of the COVID-19 pandemic, and its related affects.</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First Quarter 2020 Results Conference Call</w:t>
      </w:r>
    </w:p>
    <w:p>
      <w:pPr>
        <w:spacing w:after="0" w:line="6" w:lineRule="exact"/>
        <w:rPr>
          <w:sz w:val="20"/>
          <w:szCs w:val="20"/>
          <w:color w:val="auto"/>
        </w:rPr>
      </w:pPr>
    </w:p>
    <w:p>
      <w:pPr>
        <w:jc w:val="both"/>
        <w:ind w:right="580"/>
        <w:spacing w:after="0" w:line="230" w:lineRule="auto"/>
        <w:rPr>
          <w:sz w:val="20"/>
          <w:szCs w:val="20"/>
          <w:color w:val="auto"/>
        </w:rPr>
      </w:pPr>
      <w:r>
        <w:rPr>
          <w:rFonts w:ascii="Arial" w:cs="Arial" w:eastAsia="Arial" w:hAnsi="Arial"/>
          <w:sz w:val="19"/>
          <w:szCs w:val="19"/>
          <w:color w:val="auto"/>
        </w:rPr>
        <w:t>Flowserve will host its conference call with the financial community on Friday, May 8</w:t>
      </w:r>
      <w:r>
        <w:rPr>
          <w:rFonts w:ascii="Arial" w:cs="Arial" w:eastAsia="Arial" w:hAnsi="Arial"/>
          <w:sz w:val="30"/>
          <w:szCs w:val="30"/>
          <w:color w:val="auto"/>
          <w:vertAlign w:val="superscript"/>
        </w:rPr>
        <w:t>th</w:t>
      </w:r>
      <w:r>
        <w:rPr>
          <w:rFonts w:ascii="Arial" w:cs="Arial" w:eastAsia="Arial" w:hAnsi="Arial"/>
          <w:sz w:val="19"/>
          <w:szCs w:val="19"/>
          <w:color w:val="auto"/>
        </w:rPr>
        <w:t xml:space="preserve"> at 11:00 AM Eastern. Scott Rowe, president and chief executive officer, as well as other members of the management team will be presenting. The call can be accessed by shareholders and other interested parties at www.flowserve.com under the “Investor Relations” section.</w:t>
      </w:r>
    </w:p>
    <w:p>
      <w:pPr>
        <w:spacing w:after="0" w:line="178" w:lineRule="exact"/>
        <w:rPr>
          <w:sz w:val="20"/>
          <w:szCs w:val="20"/>
          <w:color w:val="auto"/>
        </w:rPr>
      </w:pPr>
    </w:p>
    <w:p>
      <w:pPr>
        <w:ind w:left="260" w:hanging="252"/>
        <w:spacing w:after="0"/>
        <w:tabs>
          <w:tab w:leader="none" w:pos="2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See Reconciliation of Non-GAAP Measures table for detailed reconciliation of reported results to adjusted measures.</w:t>
      </w:r>
    </w:p>
    <w:p>
      <w:pPr>
        <w:ind w:right="400" w:firstLine="8"/>
        <w:spacing w:after="0" w:line="228" w:lineRule="auto"/>
        <w:tabs>
          <w:tab w:leader="none" w:pos="255" w:val="left"/>
        </w:tabs>
        <w:numPr>
          <w:ilvl w:val="0"/>
          <w:numId w:val="3"/>
        </w:numPr>
        <w:rPr>
          <w:rFonts w:ascii="Arial" w:cs="Arial" w:eastAsia="Arial" w:hAnsi="Arial"/>
          <w:sz w:val="18"/>
          <w:szCs w:val="18"/>
          <w:color w:val="auto"/>
        </w:rPr>
      </w:pPr>
      <w:r>
        <w:rPr>
          <w:rFonts w:ascii="Arial" w:cs="Arial" w:eastAsia="Arial" w:hAnsi="Arial"/>
          <w:sz w:val="18"/>
          <w:szCs w:val="18"/>
          <w:color w:val="auto"/>
        </w:rPr>
        <w:t>Adjusted gross and operating margins are calculated by dividing adjusted gross profit and adjusted operating income, respectively, by revenues. Adjusted gross profit and adjusted operating income are derived by excluding the adjusted items. See reconciliation of Non-GAAP Measures table for detailed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4" w:right="35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Flowserve</w:t>
      </w:r>
    </w:p>
    <w:p>
      <w:pPr>
        <w:spacing w:after="0" w:line="14" w:lineRule="exact"/>
        <w:rPr>
          <w:sz w:val="20"/>
          <w:szCs w:val="20"/>
          <w:color w:val="auto"/>
        </w:rPr>
      </w:pPr>
    </w:p>
    <w:p>
      <w:pPr>
        <w:ind w:right="420"/>
        <w:spacing w:after="0" w:line="233" w:lineRule="auto"/>
        <w:rPr>
          <w:sz w:val="20"/>
          <w:szCs w:val="20"/>
          <w:color w:val="auto"/>
        </w:rPr>
      </w:pPr>
      <w:r>
        <w:rPr>
          <w:rFonts w:ascii="Arial" w:cs="Arial" w:eastAsia="Arial" w:hAnsi="Arial"/>
          <w:sz w:val="22"/>
          <w:szCs w:val="22"/>
          <w:color w:val="auto"/>
        </w:rPr>
        <w:t>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www.flowserve.com.</w:t>
      </w:r>
    </w:p>
    <w:p>
      <w:pPr>
        <w:spacing w:after="0" w:line="182" w:lineRule="exact"/>
        <w:rPr>
          <w:sz w:val="20"/>
          <w:szCs w:val="20"/>
          <w:color w:val="auto"/>
        </w:rPr>
      </w:pPr>
    </w:p>
    <w:p>
      <w:pPr>
        <w:jc w:val="both"/>
        <w:ind w:right="540"/>
        <w:spacing w:after="0" w:line="275"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the impact of the global outbreak of COVID-19 on our business and operations;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epidemics or pandemics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0" w:lineRule="exact"/>
        <w:rPr>
          <w:sz w:val="20"/>
          <w:szCs w:val="20"/>
          <w:color w:val="auto"/>
        </w:rPr>
      </w:pPr>
    </w:p>
    <w:p>
      <w:pPr>
        <w:spacing w:after="0" w:line="228" w:lineRule="exact"/>
        <w:rPr>
          <w:sz w:val="20"/>
          <w:szCs w:val="20"/>
          <w:color w:val="auto"/>
        </w:rPr>
      </w:pPr>
    </w:p>
    <w:p>
      <w:pPr>
        <w:ind w:right="140"/>
        <w:spacing w:after="0" w:line="250"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5" w:lineRule="exact"/>
        <w:rPr>
          <w:sz w:val="20"/>
          <w:szCs w:val="20"/>
          <w:color w:val="auto"/>
        </w:rPr>
      </w:pPr>
    </w:p>
    <w:p>
      <w:pPr>
        <w:ind w:right="220"/>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6" w:name="page7"/>
    <w:bookmarkEnd w:id="6"/>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52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INCOME</w:t>
            </w:r>
          </w:p>
        </w:tc>
        <w:tc>
          <w:tcPr>
            <w:tcW w:w="1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243"/>
        </w:trPr>
        <w:tc>
          <w:tcPr>
            <w:tcW w:w="65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50"/>
        </w:trPr>
        <w:tc>
          <w:tcPr>
            <w:tcW w:w="652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2700" w:type="dxa"/>
            <w:vAlign w:val="bottom"/>
            <w:tcBorders>
              <w:bottom w:val="single" w:sz="8" w:color="auto"/>
            </w:tcBorders>
            <w:gridSpan w:val="4"/>
          </w:tcPr>
          <w:p>
            <w:pPr>
              <w:jc w:val="right"/>
              <w:ind w:right="130"/>
              <w:spacing w:after="0"/>
              <w:rPr>
                <w:sz w:val="20"/>
                <w:szCs w:val="20"/>
                <w:color w:val="auto"/>
              </w:rPr>
            </w:pPr>
            <w:r>
              <w:rPr>
                <w:rFonts w:ascii="Arial" w:cs="Arial" w:eastAsia="Arial" w:hAnsi="Arial"/>
                <w:sz w:val="18"/>
                <w:szCs w:val="18"/>
                <w:b w:val="1"/>
                <w:bCs w:val="1"/>
                <w:color w:val="auto"/>
                <w:w w:val="92"/>
              </w:rPr>
              <w:t>Three Months Ended March 31,</w:t>
            </w:r>
          </w:p>
        </w:tc>
      </w:tr>
      <w:tr>
        <w:trPr>
          <w:trHeight w:val="243"/>
        </w:trPr>
        <w:tc>
          <w:tcPr>
            <w:tcW w:w="652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6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2020</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r>
      <w:tr>
        <w:trPr>
          <w:trHeight w:val="466"/>
        </w:trPr>
        <w:tc>
          <w:tcPr>
            <w:tcW w:w="6520" w:type="dxa"/>
            <w:vAlign w:val="bottom"/>
          </w:tcPr>
          <w:p>
            <w:pPr>
              <w:spacing w:after="0"/>
              <w:rPr>
                <w:sz w:val="20"/>
                <w:szCs w:val="20"/>
                <w:color w:val="auto"/>
              </w:rPr>
            </w:pPr>
            <w:r>
              <w:rPr>
                <w:rFonts w:ascii="Arial" w:cs="Arial" w:eastAsia="Arial" w:hAnsi="Arial"/>
                <w:sz w:val="18"/>
                <w:szCs w:val="18"/>
                <w:color w:val="auto"/>
              </w:rPr>
              <w:t>Sales</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894,457</w:t>
            </w:r>
          </w:p>
        </w:tc>
        <w:tc>
          <w:tcPr>
            <w:tcW w:w="3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890,051</w:t>
            </w:r>
          </w:p>
        </w:tc>
      </w:tr>
      <w:tr>
        <w:trPr>
          <w:trHeight w:val="257"/>
        </w:trPr>
        <w:tc>
          <w:tcPr>
            <w:tcW w:w="6520" w:type="dxa"/>
            <w:vAlign w:val="bottom"/>
          </w:tcPr>
          <w:p>
            <w:pPr>
              <w:spacing w:after="0"/>
              <w:rPr>
                <w:sz w:val="20"/>
                <w:szCs w:val="20"/>
                <w:color w:val="auto"/>
              </w:rPr>
            </w:pPr>
            <w:r>
              <w:rPr>
                <w:rFonts w:ascii="Arial" w:cs="Arial" w:eastAsia="Arial" w:hAnsi="Arial"/>
                <w:sz w:val="18"/>
                <w:szCs w:val="18"/>
                <w:color w:val="auto"/>
              </w:rPr>
              <w:t>Cost of sales</w:t>
            </w: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(628,480)</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(595,975)</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Gross profit</w:t>
            </w: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265,977</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294,076</w:t>
            </w:r>
          </w:p>
        </w:tc>
      </w:tr>
      <w:tr>
        <w:trPr>
          <w:trHeight w:val="242"/>
        </w:trPr>
        <w:tc>
          <w:tcPr>
            <w:tcW w:w="6520" w:type="dxa"/>
            <w:vAlign w:val="bottom"/>
          </w:tcPr>
          <w:p>
            <w:pPr>
              <w:ind w:left="280"/>
              <w:spacing w:after="0"/>
              <w:rPr>
                <w:sz w:val="20"/>
                <w:szCs w:val="20"/>
                <w:color w:val="auto"/>
              </w:rPr>
            </w:pPr>
            <w:r>
              <w:rPr>
                <w:rFonts w:ascii="Arial" w:cs="Arial" w:eastAsia="Arial" w:hAnsi="Arial"/>
                <w:sz w:val="18"/>
                <w:szCs w:val="18"/>
                <w:color w:val="auto"/>
              </w:rPr>
              <w:t>Selling, general and administrative expense</w:t>
            </w: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(243,621)</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(205,154)</w:t>
            </w:r>
          </w:p>
        </w:tc>
      </w:tr>
      <w:tr>
        <w:trPr>
          <w:trHeight w:val="257"/>
        </w:trPr>
        <w:tc>
          <w:tcPr>
            <w:tcW w:w="6520" w:type="dxa"/>
            <w:vAlign w:val="bottom"/>
          </w:tcPr>
          <w:p>
            <w:pPr>
              <w:ind w:left="280"/>
              <w:spacing w:after="0"/>
              <w:rPr>
                <w:sz w:val="20"/>
                <w:szCs w:val="20"/>
                <w:color w:val="auto"/>
              </w:rPr>
            </w:pPr>
            <w:r>
              <w:rPr>
                <w:rFonts w:ascii="Arial" w:cs="Arial" w:eastAsia="Arial" w:hAnsi="Arial"/>
                <w:sz w:val="18"/>
                <w:szCs w:val="18"/>
                <w:color w:val="auto"/>
              </w:rPr>
              <w:t>Net earnings from affiliates</w:t>
            </w: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3,196</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2,309</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Operating income</w:t>
            </w: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25,552</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91,231</w:t>
            </w:r>
          </w:p>
        </w:tc>
      </w:tr>
      <w:tr>
        <w:trPr>
          <w:trHeight w:val="242"/>
        </w:trPr>
        <w:tc>
          <w:tcPr>
            <w:tcW w:w="6520" w:type="dxa"/>
            <w:vAlign w:val="bottom"/>
          </w:tcPr>
          <w:p>
            <w:pPr>
              <w:ind w:left="280"/>
              <w:spacing w:after="0"/>
              <w:rPr>
                <w:sz w:val="20"/>
                <w:szCs w:val="20"/>
                <w:color w:val="auto"/>
              </w:rPr>
            </w:pPr>
            <w:r>
              <w:rPr>
                <w:rFonts w:ascii="Arial" w:cs="Arial" w:eastAsia="Arial" w:hAnsi="Arial"/>
                <w:sz w:val="18"/>
                <w:szCs w:val="18"/>
                <w:color w:val="auto"/>
              </w:rPr>
              <w:t>Interest expense</w:t>
            </w: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(12,963)</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(14,031)</w:t>
            </w:r>
          </w:p>
        </w:tc>
      </w:tr>
      <w:tr>
        <w:trPr>
          <w:trHeight w:val="243"/>
        </w:trPr>
        <w:tc>
          <w:tcPr>
            <w:tcW w:w="652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1,749</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2,023</w:t>
            </w:r>
          </w:p>
        </w:tc>
      </w:tr>
      <w:tr>
        <w:trPr>
          <w:trHeight w:val="257"/>
        </w:trPr>
        <w:tc>
          <w:tcPr>
            <w:tcW w:w="6520" w:type="dxa"/>
            <w:vAlign w:val="bottom"/>
          </w:tcPr>
          <w:p>
            <w:pPr>
              <w:ind w:left="280"/>
              <w:spacing w:after="0"/>
              <w:rPr>
                <w:sz w:val="20"/>
                <w:szCs w:val="20"/>
                <w:color w:val="auto"/>
              </w:rPr>
            </w:pPr>
            <w:r>
              <w:rPr>
                <w:rFonts w:ascii="Arial" w:cs="Arial" w:eastAsia="Arial" w:hAnsi="Arial"/>
                <w:sz w:val="18"/>
                <w:szCs w:val="18"/>
                <w:color w:val="auto"/>
              </w:rPr>
              <w:t>Other income (expense), net</w:t>
            </w: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23,462</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(3,140)</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37,800</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76,083</w:t>
            </w:r>
          </w:p>
        </w:tc>
      </w:tr>
      <w:tr>
        <w:trPr>
          <w:trHeight w:val="256"/>
        </w:trPr>
        <w:tc>
          <w:tcPr>
            <w:tcW w:w="65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(36,310)</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(16,587)</w:t>
            </w:r>
          </w:p>
        </w:tc>
      </w:tr>
      <w:tr>
        <w:trPr>
          <w:trHeight w:val="224"/>
        </w:trPr>
        <w:tc>
          <w:tcPr>
            <w:tcW w:w="652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1,490</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59,496</w:t>
            </w:r>
          </w:p>
        </w:tc>
      </w:tr>
      <w:tr>
        <w:trPr>
          <w:trHeight w:val="256"/>
        </w:trPr>
        <w:tc>
          <w:tcPr>
            <w:tcW w:w="6520" w:type="dxa"/>
            <w:vAlign w:val="bottom"/>
          </w:tcPr>
          <w:p>
            <w:pPr>
              <w:ind w:left="480"/>
              <w:spacing w:after="0"/>
              <w:rPr>
                <w:sz w:val="20"/>
                <w:szCs w:val="20"/>
                <w:color w:val="auto"/>
              </w:rPr>
            </w:pPr>
            <w:r>
              <w:rPr>
                <w:rFonts w:ascii="Arial" w:cs="Arial" w:eastAsia="Arial" w:hAnsi="Arial"/>
                <w:sz w:val="18"/>
                <w:szCs w:val="18"/>
                <w:color w:val="auto"/>
              </w:rPr>
              <w:t>Less: Net earnings attributable to noncontrolling interests</w:t>
            </w:r>
          </w:p>
        </w:tc>
        <w:tc>
          <w:tcPr>
            <w:tcW w:w="16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(2,100)</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(2,235)</w:t>
            </w:r>
          </w:p>
        </w:tc>
      </w:tr>
      <w:tr>
        <w:trPr>
          <w:trHeight w:val="237"/>
        </w:trPr>
        <w:tc>
          <w:tcPr>
            <w:tcW w:w="6520" w:type="dxa"/>
            <w:vAlign w:val="bottom"/>
          </w:tcPr>
          <w:p>
            <w:pPr>
              <w:spacing w:after="0"/>
              <w:rPr>
                <w:sz w:val="20"/>
                <w:szCs w:val="20"/>
                <w:color w:val="auto"/>
              </w:rPr>
            </w:pPr>
            <w:r>
              <w:rPr>
                <w:rFonts w:ascii="Arial" w:cs="Arial" w:eastAsia="Arial" w:hAnsi="Arial"/>
                <w:sz w:val="18"/>
                <w:szCs w:val="18"/>
                <w:color w:val="auto"/>
              </w:rPr>
              <w:t>Net earnings (loss) attributable to Flowserve Corporation</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(610)</w:t>
            </w:r>
          </w:p>
        </w:tc>
        <w:tc>
          <w:tcPr>
            <w:tcW w:w="60" w:type="dxa"/>
            <w:vAlign w:val="bottom"/>
          </w:tcPr>
          <w:p>
            <w:pPr>
              <w:spacing w:after="0"/>
              <w:rPr>
                <w:sz w:val="20"/>
                <w:szCs w:val="20"/>
                <w:color w:val="auto"/>
              </w:rPr>
            </w:pPr>
          </w:p>
        </w:tc>
        <w:tc>
          <w:tcPr>
            <w:tcW w:w="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57,261</w:t>
            </w:r>
          </w:p>
        </w:tc>
      </w:tr>
      <w:tr>
        <w:trPr>
          <w:trHeight w:val="20"/>
        </w:trPr>
        <w:tc>
          <w:tcPr>
            <w:tcW w:w="6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139"/>
          </w:cols>
          <w:pgMar w:left="320" w:top="1440" w:right="1440" w:bottom="1440" w:gutter="0" w:footer="0" w:header="0"/>
        </w:sectPr>
      </w:pP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Net earnings (loss) per share attributable to Flowserve Corporation common shareholders:</w:t>
      </w:r>
    </w:p>
    <w:p>
      <w:pPr>
        <w:spacing w:after="0" w:line="59" w:lineRule="exact"/>
        <w:rPr>
          <w:sz w:val="20"/>
          <w:szCs w:val="20"/>
          <w:color w:val="auto"/>
        </w:rPr>
      </w:pPr>
    </w:p>
    <w:p>
      <w:pPr>
        <w:ind w:left="280" w:right="457"/>
        <w:spacing w:after="0" w:line="274" w:lineRule="auto"/>
        <w:rPr>
          <w:sz w:val="20"/>
          <w:szCs w:val="20"/>
          <w:color w:val="auto"/>
        </w:rPr>
      </w:pPr>
      <w:r>
        <w:rPr>
          <w:rFonts w:ascii="Arial" w:cs="Arial" w:eastAsia="Arial" w:hAnsi="Arial"/>
          <w:sz w:val="18"/>
          <w:szCs w:val="18"/>
          <w:color w:val="auto"/>
        </w:rPr>
        <w:t>Basic $ Diluted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270510</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65" w:lineRule="exact"/>
        <w:rPr>
          <w:sz w:val="20"/>
          <w:szCs w:val="20"/>
          <w:color w:val="auto"/>
        </w:rPr>
      </w:pPr>
    </w:p>
    <w:p>
      <w:pPr>
        <w:spacing w:after="0" w:line="1" w:lineRule="exact"/>
        <w:rPr>
          <w:sz w:val="1"/>
          <w:szCs w:val="1"/>
          <w:color w:val="auto"/>
        </w:rPr>
      </w:pPr>
    </w:p>
    <w:tbl>
      <w:tblPr>
        <w:tblLayout w:type="fixed"/>
        <w:tblInd w:w="3" w:type="dxa"/>
        <w:tblCellMar>
          <w:top w:w="0" w:type="dxa"/>
          <w:left w:w="0" w:type="dxa"/>
          <w:bottom w:w="0" w:type="dxa"/>
          <w:right w:w="0" w:type="dxa"/>
        </w:tblCellMar>
      </w:tblPr>
      <w:tr>
        <w:trPr>
          <w:trHeight w:val="230"/>
        </w:trPr>
        <w:tc>
          <w:tcPr>
            <w:tcW w:w="780" w:type="dxa"/>
            <w:vAlign w:val="bottom"/>
          </w:tcPr>
          <w:p>
            <w:pPr>
              <w:jc w:val="right"/>
              <w:ind w:right="270"/>
              <w:spacing w:after="0"/>
              <w:rPr>
                <w:sz w:val="20"/>
                <w:szCs w:val="20"/>
                <w:color w:val="auto"/>
              </w:rPr>
            </w:pPr>
            <w:r>
              <w:rPr>
                <w:rFonts w:ascii="Arial" w:cs="Arial" w:eastAsia="Arial" w:hAnsi="Arial"/>
                <w:sz w:val="18"/>
                <w:szCs w:val="18"/>
                <w:color w:val="auto"/>
              </w:rPr>
              <w:t>-   $</w:t>
            </w:r>
          </w:p>
        </w:tc>
        <w:tc>
          <w:tcPr>
            <w:tcW w:w="680" w:type="dxa"/>
            <w:vAlign w:val="bottom"/>
          </w:tcPr>
          <w:p>
            <w:pPr>
              <w:jc w:val="right"/>
              <w:spacing w:after="0"/>
              <w:rPr>
                <w:sz w:val="20"/>
                <w:szCs w:val="20"/>
                <w:color w:val="auto"/>
              </w:rPr>
            </w:pPr>
            <w:r>
              <w:rPr>
                <w:rFonts w:ascii="Arial" w:cs="Arial" w:eastAsia="Arial" w:hAnsi="Arial"/>
                <w:sz w:val="18"/>
                <w:szCs w:val="18"/>
                <w:color w:val="auto"/>
              </w:rPr>
              <w:t>0.44</w:t>
            </w:r>
          </w:p>
        </w:tc>
      </w:tr>
    </w:tbl>
    <w:p>
      <w:pPr>
        <w:spacing w:after="0" w:line="13" w:lineRule="exact"/>
        <w:rPr>
          <w:sz w:val="20"/>
          <w:szCs w:val="20"/>
          <w:color w:val="auto"/>
        </w:rPr>
      </w:pPr>
    </w:p>
    <w:p>
      <w:pPr>
        <w:ind w:left="1163" w:hanging="1163"/>
        <w:spacing w:after="0"/>
        <w:tabs>
          <w:tab w:leader="none" w:pos="1163" w:val="left"/>
        </w:tabs>
        <w:numPr>
          <w:ilvl w:val="0"/>
          <w:numId w:val="4"/>
        </w:numPr>
        <w:rPr>
          <w:rFonts w:ascii="Arial" w:cs="Arial" w:eastAsia="Arial" w:hAnsi="Arial"/>
          <w:sz w:val="15"/>
          <w:szCs w:val="15"/>
          <w:color w:val="auto"/>
        </w:rPr>
      </w:pPr>
      <w:r>
        <w:rPr>
          <w:rFonts w:ascii="Arial" w:cs="Arial" w:eastAsia="Arial" w:hAnsi="Arial"/>
          <w:sz w:val="15"/>
          <w:szCs w:val="15"/>
          <w:color w:val="auto"/>
        </w:rPr>
        <w:t>0.44</w:t>
      </w:r>
    </w:p>
    <w:p>
      <w:pPr>
        <w:sectPr>
          <w:pgSz w:w="11900" w:h="16838" w:orient="portrait"/>
          <w:cols w:equalWidth="0" w:num="2">
            <w:col w:w="7117" w:space="720"/>
            <w:col w:w="2302"/>
          </w:cols>
          <w:pgMar w:left="320" w:top="1440" w:right="1440" w:bottom="1440" w:gutter="0" w:footer="0" w:header="0"/>
          <w:type w:val="continuous"/>
        </w:sectPr>
      </w:pPr>
    </w:p>
    <w:bookmarkStart w:id="7" w:name="page8"/>
    <w:bookmarkEnd w:id="7"/>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6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3760" w:type="dxa"/>
            <w:vAlign w:val="bottom"/>
            <w:tcBorders>
              <w:bottom w:val="single" w:sz="8" w:color="auto"/>
            </w:tcBorders>
            <w:gridSpan w:val="7"/>
          </w:tcPr>
          <w:p>
            <w:pPr>
              <w:jc w:val="right"/>
              <w:spacing w:after="0"/>
              <w:rPr>
                <w:sz w:val="20"/>
                <w:szCs w:val="20"/>
                <w:color w:val="auto"/>
              </w:rPr>
            </w:pPr>
            <w:r>
              <w:rPr>
                <w:rFonts w:ascii="Arial" w:cs="Arial" w:eastAsia="Arial" w:hAnsi="Arial"/>
                <w:sz w:val="18"/>
                <w:szCs w:val="18"/>
                <w:b w:val="1"/>
                <w:bCs w:val="1"/>
                <w:color w:val="auto"/>
              </w:rPr>
              <w:t>Three Months Ended March 31, 2020</w:t>
            </w:r>
          </w:p>
        </w:tc>
        <w:tc>
          <w:tcPr>
            <w:tcW w:w="2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86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38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b w:val="1"/>
                <w:bCs w:val="1"/>
                <w:color w:val="auto"/>
                <w:w w:val="95"/>
              </w:rPr>
              <w:t>As Reported (a)</w:t>
            </w:r>
          </w:p>
        </w:tc>
        <w:tc>
          <w:tcPr>
            <w:tcW w:w="140" w:type="dxa"/>
            <w:vAlign w:val="bottom"/>
          </w:tcPr>
          <w:p>
            <w:pPr>
              <w:spacing w:after="0"/>
              <w:rPr>
                <w:sz w:val="21"/>
                <w:szCs w:val="21"/>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0"/>
              </w:rPr>
              <w:t>Realignment (1)</w:t>
            </w:r>
          </w:p>
        </w:tc>
        <w:tc>
          <w:tcPr>
            <w:tcW w:w="220" w:type="dxa"/>
            <w:vAlign w:val="bottom"/>
          </w:tcPr>
          <w:p>
            <w:pPr>
              <w:spacing w:after="0"/>
              <w:rPr>
                <w:sz w:val="21"/>
                <w:szCs w:val="21"/>
                <w:color w:val="auto"/>
              </w:rPr>
            </w:pPr>
          </w:p>
        </w:tc>
        <w:tc>
          <w:tcPr>
            <w:tcW w:w="1120" w:type="dxa"/>
            <w:vAlign w:val="bottom"/>
            <w:tcBorders>
              <w:bottom w:val="single" w:sz="8" w:color="auto"/>
            </w:tcBorders>
            <w:gridSpan w:val="2"/>
          </w:tcPr>
          <w:p>
            <w:pPr>
              <w:jc w:val="right"/>
              <w:ind w:right="10"/>
              <w:spacing w:after="0"/>
              <w:rPr>
                <w:sz w:val="20"/>
                <w:szCs w:val="20"/>
                <w:color w:val="auto"/>
              </w:rPr>
            </w:pPr>
            <w:r>
              <w:rPr>
                <w:rFonts w:ascii="Arial" w:cs="Arial" w:eastAsia="Arial" w:hAnsi="Arial"/>
                <w:sz w:val="18"/>
                <w:szCs w:val="18"/>
                <w:b w:val="1"/>
                <w:bCs w:val="1"/>
                <w:color w:val="auto"/>
                <w:w w:val="99"/>
              </w:rPr>
              <w:t>Other Items</w:t>
            </w:r>
          </w:p>
        </w:tc>
        <w:tc>
          <w:tcPr>
            <w:tcW w:w="220" w:type="dxa"/>
            <w:vAlign w:val="bottom"/>
          </w:tcPr>
          <w:p>
            <w:pPr>
              <w:spacing w:after="0"/>
              <w:rPr>
                <w:sz w:val="21"/>
                <w:szCs w:val="21"/>
                <w:color w:val="auto"/>
              </w:rPr>
            </w:pPr>
          </w:p>
        </w:tc>
        <w:tc>
          <w:tcPr>
            <w:tcW w:w="1040" w:type="dxa"/>
            <w:vAlign w:val="bottom"/>
            <w:tcBorders>
              <w:bottom w:val="single" w:sz="8" w:color="auto"/>
            </w:tcBorders>
            <w:gridSpan w:val="2"/>
          </w:tcPr>
          <w:p>
            <w:pPr>
              <w:ind w:left="40"/>
              <w:spacing w:after="0"/>
              <w:rPr>
                <w:sz w:val="20"/>
                <w:szCs w:val="20"/>
                <w:color w:val="auto"/>
              </w:rPr>
            </w:pPr>
            <w:r>
              <w:rPr>
                <w:rFonts w:ascii="Arial" w:cs="Arial" w:eastAsia="Arial" w:hAnsi="Arial"/>
                <w:sz w:val="18"/>
                <w:szCs w:val="18"/>
                <w:b w:val="1"/>
                <w:bCs w:val="1"/>
                <w:color w:val="auto"/>
                <w:w w:val="93"/>
              </w:rPr>
              <w:t>As Adjusted</w:t>
            </w:r>
          </w:p>
        </w:tc>
        <w:tc>
          <w:tcPr>
            <w:tcW w:w="0" w:type="dxa"/>
            <w:vAlign w:val="bottom"/>
          </w:tcPr>
          <w:p>
            <w:pPr>
              <w:spacing w:after="0"/>
              <w:rPr>
                <w:sz w:val="1"/>
                <w:szCs w:val="1"/>
                <w:color w:val="auto"/>
              </w:rPr>
            </w:pPr>
          </w:p>
        </w:tc>
      </w:tr>
      <w:tr>
        <w:trPr>
          <w:trHeight w:val="682"/>
        </w:trPr>
        <w:tc>
          <w:tcPr>
            <w:tcW w:w="5860" w:type="dxa"/>
            <w:vAlign w:val="bottom"/>
          </w:tcPr>
          <w:p>
            <w:pPr>
              <w:spacing w:after="0"/>
              <w:rPr>
                <w:sz w:val="20"/>
                <w:szCs w:val="20"/>
                <w:color w:val="auto"/>
              </w:rPr>
            </w:pPr>
            <w:r>
              <w:rPr>
                <w:rFonts w:ascii="Arial" w:cs="Arial" w:eastAsia="Arial" w:hAnsi="Arial"/>
                <w:sz w:val="18"/>
                <w:szCs w:val="18"/>
                <w:color w:val="auto"/>
              </w:rPr>
              <w:t>Sales</w:t>
            </w:r>
          </w:p>
        </w:tc>
        <w:tc>
          <w:tcPr>
            <w:tcW w:w="360" w:type="dxa"/>
            <w:vAlign w:val="bottom"/>
          </w:tcPr>
          <w:p>
            <w:pPr>
              <w:ind w:left="6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894,457</w:t>
            </w:r>
          </w:p>
        </w:tc>
        <w:tc>
          <w:tcPr>
            <w:tcW w:w="4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ind w:left="4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894,457</w:t>
            </w:r>
          </w:p>
        </w:tc>
        <w:tc>
          <w:tcPr>
            <w:tcW w:w="0" w:type="dxa"/>
            <w:vAlign w:val="bottom"/>
          </w:tcPr>
          <w:p>
            <w:pPr>
              <w:spacing w:after="0"/>
              <w:rPr>
                <w:sz w:val="1"/>
                <w:szCs w:val="1"/>
                <w:color w:val="auto"/>
              </w:rPr>
            </w:pPr>
          </w:p>
        </w:tc>
      </w:tr>
      <w:tr>
        <w:trPr>
          <w:trHeight w:val="459"/>
        </w:trPr>
        <w:tc>
          <w:tcPr>
            <w:tcW w:w="5860" w:type="dxa"/>
            <w:vAlign w:val="bottom"/>
          </w:tcPr>
          <w:p>
            <w:pPr>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265,977</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(9,460)</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275,437</w:t>
            </w:r>
          </w:p>
        </w:tc>
        <w:tc>
          <w:tcPr>
            <w:tcW w:w="0" w:type="dxa"/>
            <w:vAlign w:val="bottom"/>
          </w:tcPr>
          <w:p>
            <w:pPr>
              <w:spacing w:after="0"/>
              <w:rPr>
                <w:sz w:val="1"/>
                <w:szCs w:val="1"/>
                <w:color w:val="auto"/>
              </w:rPr>
            </w:pPr>
          </w:p>
        </w:tc>
      </w:tr>
      <w:tr>
        <w:trPr>
          <w:trHeight w:val="459"/>
        </w:trPr>
        <w:tc>
          <w:tcPr>
            <w:tcW w:w="586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36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29.7%</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i w:val="1"/>
                <w:iCs w:val="1"/>
                <w:color w:val="auto"/>
              </w:rPr>
              <w:t>30.8%</w:t>
            </w:r>
          </w:p>
        </w:tc>
        <w:tc>
          <w:tcPr>
            <w:tcW w:w="0" w:type="dxa"/>
            <w:vAlign w:val="bottom"/>
          </w:tcPr>
          <w:p>
            <w:pPr>
              <w:spacing w:after="0"/>
              <w:rPr>
                <w:sz w:val="1"/>
                <w:szCs w:val="1"/>
                <w:color w:val="auto"/>
              </w:rPr>
            </w:pPr>
          </w:p>
        </w:tc>
      </w:tr>
      <w:tr>
        <w:trPr>
          <w:trHeight w:val="702"/>
        </w:trPr>
        <w:tc>
          <w:tcPr>
            <w:tcW w:w="586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360" w:type="dxa"/>
            <w:vAlign w:val="bottom"/>
          </w:tcPr>
          <w:p>
            <w:pPr>
              <w:spacing w:after="0"/>
              <w:rPr>
                <w:sz w:val="24"/>
                <w:szCs w:val="24"/>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(243,621)</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(1,278)</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(16,083)</w:t>
            </w:r>
          </w:p>
        </w:tc>
        <w:tc>
          <w:tcPr>
            <w:tcW w:w="22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18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w w:val="95"/>
              </w:rPr>
              <w:t>(226,260)</w:t>
            </w:r>
          </w:p>
        </w:tc>
        <w:tc>
          <w:tcPr>
            <w:tcW w:w="0" w:type="dxa"/>
            <w:vAlign w:val="bottom"/>
          </w:tcPr>
          <w:p>
            <w:pPr>
              <w:spacing w:after="0"/>
              <w:rPr>
                <w:sz w:val="1"/>
                <w:szCs w:val="1"/>
                <w:color w:val="auto"/>
              </w:rPr>
            </w:pPr>
          </w:p>
        </w:tc>
      </w:tr>
      <w:tr>
        <w:trPr>
          <w:trHeight w:val="702"/>
        </w:trPr>
        <w:tc>
          <w:tcPr>
            <w:tcW w:w="5860" w:type="dxa"/>
            <w:vAlign w:val="bottom"/>
          </w:tcPr>
          <w:p>
            <w:pPr>
              <w:spacing w:after="0"/>
              <w:rPr>
                <w:sz w:val="20"/>
                <w:szCs w:val="20"/>
                <w:color w:val="auto"/>
              </w:rPr>
            </w:pPr>
            <w:r>
              <w:rPr>
                <w:rFonts w:ascii="Arial" w:cs="Arial" w:eastAsia="Arial" w:hAnsi="Arial"/>
                <w:sz w:val="18"/>
                <w:szCs w:val="18"/>
                <w:color w:val="auto"/>
              </w:rPr>
              <w:t>Operating income</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25,552</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(10,738)</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(16,083)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52,373</w:t>
            </w:r>
          </w:p>
        </w:tc>
        <w:tc>
          <w:tcPr>
            <w:tcW w:w="0" w:type="dxa"/>
            <w:vAlign w:val="bottom"/>
          </w:tcPr>
          <w:p>
            <w:pPr>
              <w:spacing w:after="0"/>
              <w:rPr>
                <w:sz w:val="1"/>
                <w:szCs w:val="1"/>
                <w:color w:val="auto"/>
              </w:rPr>
            </w:pPr>
          </w:p>
        </w:tc>
      </w:tr>
      <w:tr>
        <w:trPr>
          <w:trHeight w:val="459"/>
        </w:trPr>
        <w:tc>
          <w:tcPr>
            <w:tcW w:w="586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36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2.9%</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i w:val="1"/>
                <w:iCs w:val="1"/>
                <w:color w:val="auto"/>
              </w:rPr>
              <w:t>5.9%</w:t>
            </w:r>
          </w:p>
        </w:tc>
        <w:tc>
          <w:tcPr>
            <w:tcW w:w="0" w:type="dxa"/>
            <w:vAlign w:val="bottom"/>
          </w:tcPr>
          <w:p>
            <w:pPr>
              <w:spacing w:after="0"/>
              <w:rPr>
                <w:sz w:val="1"/>
                <w:szCs w:val="1"/>
                <w:color w:val="auto"/>
              </w:rPr>
            </w:pPr>
          </w:p>
        </w:tc>
      </w:tr>
      <w:tr>
        <w:trPr>
          <w:trHeight w:val="702"/>
        </w:trPr>
        <w:tc>
          <w:tcPr>
            <w:tcW w:w="586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12,248</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25,653</w:t>
            </w:r>
          </w:p>
        </w:tc>
        <w:tc>
          <w:tcPr>
            <w:tcW w:w="22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8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(13,405)</w:t>
            </w:r>
          </w:p>
        </w:tc>
        <w:tc>
          <w:tcPr>
            <w:tcW w:w="0" w:type="dxa"/>
            <w:vAlign w:val="bottom"/>
          </w:tcPr>
          <w:p>
            <w:pPr>
              <w:spacing w:after="0"/>
              <w:rPr>
                <w:sz w:val="1"/>
                <w:szCs w:val="1"/>
                <w:color w:val="auto"/>
              </w:rPr>
            </w:pPr>
          </w:p>
        </w:tc>
      </w:tr>
      <w:tr>
        <w:trPr>
          <w:trHeight w:val="702"/>
        </w:trPr>
        <w:tc>
          <w:tcPr>
            <w:tcW w:w="586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37,800</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(10,738)</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9,570</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38,968</w:t>
            </w:r>
          </w:p>
        </w:tc>
        <w:tc>
          <w:tcPr>
            <w:tcW w:w="0" w:type="dxa"/>
            <w:vAlign w:val="bottom"/>
          </w:tcPr>
          <w:p>
            <w:pPr>
              <w:spacing w:after="0"/>
              <w:rPr>
                <w:sz w:val="1"/>
                <w:szCs w:val="1"/>
                <w:color w:val="auto"/>
              </w:rPr>
            </w:pPr>
          </w:p>
        </w:tc>
      </w:tr>
      <w:tr>
        <w:trPr>
          <w:trHeight w:val="459"/>
        </w:trPr>
        <w:tc>
          <w:tcPr>
            <w:tcW w:w="586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360" w:type="dxa"/>
            <w:vAlign w:val="bottom"/>
          </w:tcPr>
          <w:p>
            <w:pPr>
              <w:spacing w:after="0"/>
              <w:rPr>
                <w:sz w:val="24"/>
                <w:szCs w:val="24"/>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(36,310)</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962  (2)</w:t>
            </w:r>
          </w:p>
        </w:tc>
        <w:tc>
          <w:tcPr>
            <w:tcW w:w="26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(27,720)</w:t>
            </w:r>
          </w:p>
        </w:tc>
        <w:tc>
          <w:tcPr>
            <w:tcW w:w="22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180" w:type="dxa"/>
            <w:vAlign w:val="bottom"/>
          </w:tcPr>
          <w:p>
            <w:pPr>
              <w:spacing w:after="0"/>
              <w:rPr>
                <w:sz w:val="24"/>
                <w:szCs w:val="24"/>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(9,552)</w:t>
            </w:r>
          </w:p>
        </w:tc>
        <w:tc>
          <w:tcPr>
            <w:tcW w:w="0" w:type="dxa"/>
            <w:vAlign w:val="bottom"/>
          </w:tcPr>
          <w:p>
            <w:pPr>
              <w:spacing w:after="0"/>
              <w:rPr>
                <w:sz w:val="1"/>
                <w:szCs w:val="1"/>
                <w:color w:val="auto"/>
              </w:rPr>
            </w:pPr>
          </w:p>
        </w:tc>
      </w:tr>
      <w:tr>
        <w:trPr>
          <w:trHeight w:val="243"/>
        </w:trPr>
        <w:tc>
          <w:tcPr>
            <w:tcW w:w="586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3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i w:val="1"/>
                <w:iCs w:val="1"/>
                <w:color w:val="auto"/>
              </w:rPr>
              <w:t>96.1%</w:t>
            </w:r>
          </w:p>
        </w:tc>
        <w:tc>
          <w:tcPr>
            <w:tcW w:w="1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i w:val="1"/>
                <w:iCs w:val="1"/>
                <w:color w:val="auto"/>
              </w:rPr>
              <w:t>9.0%</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i w:val="1"/>
                <w:iCs w:val="1"/>
                <w:color w:val="auto"/>
              </w:rPr>
              <w:t>289.7%</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i w:val="1"/>
                <w:iCs w:val="1"/>
                <w:color w:val="auto"/>
              </w:rPr>
              <w:t>24.5%</w:t>
            </w:r>
          </w:p>
        </w:tc>
        <w:tc>
          <w:tcPr>
            <w:tcW w:w="0" w:type="dxa"/>
            <w:vAlign w:val="bottom"/>
          </w:tcPr>
          <w:p>
            <w:pPr>
              <w:spacing w:after="0"/>
              <w:rPr>
                <w:sz w:val="1"/>
                <w:szCs w:val="1"/>
                <w:color w:val="auto"/>
              </w:rPr>
            </w:pPr>
          </w:p>
        </w:tc>
      </w:tr>
      <w:tr>
        <w:trPr>
          <w:trHeight w:val="702"/>
        </w:trPr>
        <w:tc>
          <w:tcPr>
            <w:tcW w:w="5860" w:type="dxa"/>
            <w:vAlign w:val="bottom"/>
          </w:tcPr>
          <w:p>
            <w:pPr>
              <w:spacing w:after="0"/>
              <w:rPr>
                <w:sz w:val="20"/>
                <w:szCs w:val="20"/>
                <w:color w:val="auto"/>
              </w:rPr>
            </w:pPr>
            <w:r>
              <w:rPr>
                <w:rFonts w:ascii="Arial" w:cs="Arial" w:eastAsia="Arial" w:hAnsi="Arial"/>
                <w:sz w:val="18"/>
                <w:szCs w:val="18"/>
                <w:b w:val="1"/>
                <w:bCs w:val="1"/>
                <w:color w:val="auto"/>
              </w:rPr>
              <w:t>Net earnings (loss) attributable to Flowserve Corporation</w:t>
            </w:r>
          </w:p>
        </w:tc>
        <w:tc>
          <w:tcPr>
            <w:tcW w:w="360" w:type="dxa"/>
            <w:vAlign w:val="bottom"/>
          </w:tcPr>
          <w:p>
            <w:pPr>
              <w:ind w:left="60"/>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ind w:right="30"/>
              <w:spacing w:after="0"/>
              <w:rPr>
                <w:sz w:val="20"/>
                <w:szCs w:val="20"/>
                <w:color w:val="auto"/>
              </w:rPr>
            </w:pPr>
            <w:r>
              <w:rPr>
                <w:rFonts w:ascii="Arial" w:cs="Arial" w:eastAsia="Arial" w:hAnsi="Arial"/>
                <w:sz w:val="18"/>
                <w:szCs w:val="18"/>
                <w:b w:val="1"/>
                <w:bCs w:val="1"/>
                <w:color w:val="auto"/>
              </w:rPr>
              <w:t>(610)</w:t>
            </w:r>
          </w:p>
        </w:tc>
        <w:tc>
          <w:tcPr>
            <w:tcW w:w="46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b w:val="1"/>
                <w:bCs w:val="1"/>
                <w:color w:val="auto"/>
              </w:rPr>
              <w:t>(9,776)</w:t>
            </w:r>
          </w:p>
        </w:tc>
        <w:tc>
          <w:tcPr>
            <w:tcW w:w="220" w:type="dxa"/>
            <w:vAlign w:val="bottom"/>
          </w:tcPr>
          <w:p>
            <w:pPr>
              <w:spacing w:after="0"/>
              <w:rPr>
                <w:sz w:val="24"/>
                <w:szCs w:val="24"/>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b w:val="1"/>
                <w:bCs w:val="1"/>
                <w:color w:val="auto"/>
              </w:rPr>
              <w:t>(18,150)</w:t>
            </w:r>
          </w:p>
        </w:tc>
        <w:tc>
          <w:tcPr>
            <w:tcW w:w="220" w:type="dxa"/>
            <w:vAlign w:val="bottom"/>
          </w:tcPr>
          <w:p>
            <w:pPr>
              <w:spacing w:after="0"/>
              <w:rPr>
                <w:sz w:val="24"/>
                <w:szCs w:val="24"/>
                <w:color w:val="auto"/>
              </w:rPr>
            </w:pPr>
          </w:p>
        </w:tc>
        <w:tc>
          <w:tcPr>
            <w:tcW w:w="180" w:type="dxa"/>
            <w:vAlign w:val="bottom"/>
          </w:tcPr>
          <w:p>
            <w:pPr>
              <w:ind w:left="40"/>
              <w:spacing w:after="0"/>
              <w:rPr>
                <w:sz w:val="20"/>
                <w:szCs w:val="20"/>
                <w:color w:val="auto"/>
              </w:rPr>
            </w:pPr>
            <w:r>
              <w:rPr>
                <w:rFonts w:ascii="Arial" w:cs="Arial" w:eastAsia="Arial" w:hAnsi="Arial"/>
                <w:sz w:val="18"/>
                <w:szCs w:val="18"/>
                <w:b w:val="1"/>
                <w:bCs w:val="1"/>
                <w:color w:val="auto"/>
              </w:rPr>
              <w:t>$</w:t>
            </w:r>
          </w:p>
        </w:tc>
        <w:tc>
          <w:tcPr>
            <w:tcW w:w="860" w:type="dxa"/>
            <w:vAlign w:val="bottom"/>
          </w:tcPr>
          <w:p>
            <w:pPr>
              <w:jc w:val="right"/>
              <w:ind w:right="70"/>
              <w:spacing w:after="0"/>
              <w:rPr>
                <w:sz w:val="20"/>
                <w:szCs w:val="20"/>
                <w:color w:val="auto"/>
              </w:rPr>
            </w:pPr>
            <w:r>
              <w:rPr>
                <w:rFonts w:ascii="Arial" w:cs="Arial" w:eastAsia="Arial" w:hAnsi="Arial"/>
                <w:sz w:val="18"/>
                <w:szCs w:val="18"/>
                <w:b w:val="1"/>
                <w:bCs w:val="1"/>
                <w:color w:val="auto"/>
              </w:rPr>
              <w:t>27,316</w:t>
            </w:r>
          </w:p>
        </w:tc>
        <w:tc>
          <w:tcPr>
            <w:tcW w:w="0" w:type="dxa"/>
            <w:vAlign w:val="bottom"/>
          </w:tcPr>
          <w:p>
            <w:pPr>
              <w:spacing w:after="0"/>
              <w:rPr>
                <w:sz w:val="1"/>
                <w:szCs w:val="1"/>
                <w:color w:val="auto"/>
              </w:rPr>
            </w:pPr>
          </w:p>
        </w:tc>
      </w:tr>
      <w:tr>
        <w:trPr>
          <w:trHeight w:val="472"/>
        </w:trPr>
        <w:tc>
          <w:tcPr>
            <w:tcW w:w="5860" w:type="dxa"/>
            <w:vAlign w:val="bottom"/>
          </w:tcPr>
          <w:p>
            <w:pPr>
              <w:spacing w:after="0"/>
              <w:rPr>
                <w:sz w:val="20"/>
                <w:szCs w:val="20"/>
                <w:color w:val="auto"/>
              </w:rPr>
            </w:pPr>
            <w:r>
              <w:rPr>
                <w:rFonts w:ascii="Arial" w:cs="Arial" w:eastAsia="Arial" w:hAnsi="Arial"/>
                <w:sz w:val="18"/>
                <w:szCs w:val="18"/>
                <w:color w:val="auto"/>
                <w:w w:val="96"/>
              </w:rPr>
              <w:t>Net earnings (loss) per share attributable to Flowserve Corporation common</w:t>
            </w: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60" w:type="dxa"/>
            <w:vAlign w:val="bottom"/>
          </w:tcPr>
          <w:p>
            <w:pPr>
              <w:spacing w:after="0"/>
              <w:rPr>
                <w:sz w:val="20"/>
                <w:szCs w:val="20"/>
                <w:color w:val="auto"/>
              </w:rPr>
            </w:pPr>
            <w:r>
              <w:rPr>
                <w:rFonts w:ascii="Arial" w:cs="Arial" w:eastAsia="Arial" w:hAnsi="Arial"/>
                <w:sz w:val="18"/>
                <w:szCs w:val="18"/>
                <w:color w:val="auto"/>
              </w:rPr>
              <w:t>shareholders:</w:t>
            </w:r>
          </w:p>
        </w:tc>
        <w:tc>
          <w:tcPr>
            <w:tcW w:w="3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860" w:type="dxa"/>
            <w:vAlign w:val="bottom"/>
          </w:tcPr>
          <w:p>
            <w:pPr>
              <w:ind w:left="220"/>
              <w:spacing w:after="0"/>
              <w:rPr>
                <w:sz w:val="20"/>
                <w:szCs w:val="20"/>
                <w:color w:val="auto"/>
              </w:rPr>
            </w:pPr>
            <w:r>
              <w:rPr>
                <w:rFonts w:ascii="Arial" w:cs="Arial" w:eastAsia="Arial" w:hAnsi="Arial"/>
                <w:sz w:val="18"/>
                <w:szCs w:val="18"/>
                <w:color w:val="auto"/>
              </w:rPr>
              <w:t>Basic</w:t>
            </w:r>
          </w:p>
        </w:tc>
        <w:tc>
          <w:tcPr>
            <w:tcW w:w="360" w:type="dxa"/>
            <w:vAlign w:val="bottom"/>
          </w:tcPr>
          <w:p>
            <w:pPr>
              <w:ind w:left="6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(0.07)</w:t>
            </w:r>
          </w:p>
        </w:tc>
        <w:tc>
          <w:tcPr>
            <w:tcW w:w="2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(0.14)</w:t>
            </w:r>
          </w:p>
        </w:tc>
        <w:tc>
          <w:tcPr>
            <w:tcW w:w="22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43"/>
        </w:trPr>
        <w:tc>
          <w:tcPr>
            <w:tcW w:w="5860" w:type="dxa"/>
            <w:vAlign w:val="bottom"/>
          </w:tcPr>
          <w:p>
            <w:pPr>
              <w:ind w:left="220"/>
              <w:spacing w:after="0"/>
              <w:rPr>
                <w:sz w:val="20"/>
                <w:szCs w:val="20"/>
                <w:color w:val="auto"/>
              </w:rPr>
            </w:pPr>
            <w:r>
              <w:rPr>
                <w:rFonts w:ascii="Arial" w:cs="Arial" w:eastAsia="Arial" w:hAnsi="Arial"/>
                <w:sz w:val="18"/>
                <w:szCs w:val="18"/>
                <w:color w:val="auto"/>
              </w:rPr>
              <w:t>Diluted</w:t>
            </w:r>
          </w:p>
        </w:tc>
        <w:tc>
          <w:tcPr>
            <w:tcW w:w="360" w:type="dxa"/>
            <w:vAlign w:val="bottom"/>
          </w:tcPr>
          <w:p>
            <w:pPr>
              <w:spacing w:after="0"/>
              <w:rPr>
                <w:sz w:val="21"/>
                <w:szCs w:val="21"/>
                <w:color w:val="auto"/>
              </w:rPr>
            </w:pPr>
          </w:p>
        </w:tc>
        <w:tc>
          <w:tcPr>
            <w:tcW w:w="1020" w:type="dxa"/>
            <w:vAlign w:val="bottom"/>
            <w:vMerge w:val="restart"/>
          </w:tcPr>
          <w:p>
            <w:pPr>
              <w:jc w:val="right"/>
              <w:ind w:right="17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40" w:type="dxa"/>
            <w:vAlign w:val="bottom"/>
            <w:vMerge w:val="restart"/>
          </w:tcPr>
          <w:p>
            <w:pPr>
              <w:jc w:val="right"/>
              <w:ind w:right="10"/>
              <w:spacing w:after="0"/>
              <w:rPr>
                <w:sz w:val="20"/>
                <w:szCs w:val="20"/>
                <w:color w:val="auto"/>
              </w:rPr>
            </w:pPr>
            <w:r>
              <w:rPr>
                <w:rFonts w:ascii="Arial" w:cs="Arial" w:eastAsia="Arial" w:hAnsi="Arial"/>
                <w:sz w:val="18"/>
                <w:szCs w:val="18"/>
                <w:color w:val="auto"/>
              </w:rPr>
              <w:t>(0.07)</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vMerge w:val="restart"/>
          </w:tcPr>
          <w:p>
            <w:pPr>
              <w:jc w:val="right"/>
              <w:ind w:right="10"/>
              <w:spacing w:after="0"/>
              <w:rPr>
                <w:sz w:val="20"/>
                <w:szCs w:val="20"/>
                <w:color w:val="auto"/>
              </w:rPr>
            </w:pPr>
            <w:r>
              <w:rPr>
                <w:rFonts w:ascii="Arial" w:cs="Arial" w:eastAsia="Arial" w:hAnsi="Arial"/>
                <w:sz w:val="18"/>
                <w:szCs w:val="18"/>
                <w:color w:val="auto"/>
              </w:rPr>
              <w:t>(0.14)</w:t>
            </w:r>
          </w:p>
        </w:tc>
        <w:tc>
          <w:tcPr>
            <w:tcW w:w="2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60" w:type="dxa"/>
            <w:vAlign w:val="bottom"/>
            <w:vMerge w:val="restart"/>
          </w:tcPr>
          <w:p>
            <w:pPr>
              <w:jc w:val="right"/>
              <w:ind w:right="7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16"/>
        </w:trPr>
        <w:tc>
          <w:tcPr>
            <w:tcW w:w="58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2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02"/>
        </w:trPr>
        <w:tc>
          <w:tcPr>
            <w:tcW w:w="586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130,731</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130,731</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130,731</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130,731</w:t>
            </w:r>
          </w:p>
        </w:tc>
        <w:tc>
          <w:tcPr>
            <w:tcW w:w="0" w:type="dxa"/>
            <w:vAlign w:val="bottom"/>
          </w:tcPr>
          <w:p>
            <w:pPr>
              <w:spacing w:after="0"/>
              <w:rPr>
                <w:sz w:val="1"/>
                <w:szCs w:val="1"/>
                <w:color w:val="auto"/>
              </w:rPr>
            </w:pPr>
          </w:p>
        </w:tc>
      </w:tr>
      <w:tr>
        <w:trPr>
          <w:trHeight w:val="459"/>
        </w:trPr>
        <w:tc>
          <w:tcPr>
            <w:tcW w:w="586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360" w:type="dxa"/>
            <w:vAlign w:val="bottom"/>
          </w:tcPr>
          <w:p>
            <w:pPr>
              <w:spacing w:after="0"/>
              <w:rPr>
                <w:sz w:val="24"/>
                <w:szCs w:val="24"/>
                <w:color w:val="auto"/>
              </w:rPr>
            </w:pPr>
          </w:p>
        </w:tc>
        <w:tc>
          <w:tcPr>
            <w:tcW w:w="1020" w:type="dxa"/>
            <w:vAlign w:val="bottom"/>
          </w:tcPr>
          <w:p>
            <w:pPr>
              <w:jc w:val="right"/>
              <w:ind w:right="90"/>
              <w:spacing w:after="0"/>
              <w:rPr>
                <w:sz w:val="20"/>
                <w:szCs w:val="20"/>
                <w:color w:val="auto"/>
              </w:rPr>
            </w:pPr>
            <w:r>
              <w:rPr>
                <w:rFonts w:ascii="Arial" w:cs="Arial" w:eastAsia="Arial" w:hAnsi="Arial"/>
                <w:sz w:val="18"/>
                <w:szCs w:val="18"/>
                <w:color w:val="auto"/>
              </w:rPr>
              <w:t>130,731</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jc w:val="right"/>
              <w:ind w:right="70"/>
              <w:spacing w:after="0"/>
              <w:rPr>
                <w:sz w:val="20"/>
                <w:szCs w:val="20"/>
                <w:color w:val="auto"/>
              </w:rPr>
            </w:pPr>
            <w:r>
              <w:rPr>
                <w:rFonts w:ascii="Arial" w:cs="Arial" w:eastAsia="Arial" w:hAnsi="Arial"/>
                <w:sz w:val="18"/>
                <w:szCs w:val="18"/>
                <w:color w:val="auto"/>
              </w:rPr>
              <w:t>131,573</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131,573</w:t>
            </w: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jc w:val="right"/>
              <w:ind w:right="70"/>
              <w:spacing w:after="0"/>
              <w:rPr>
                <w:sz w:val="20"/>
                <w:szCs w:val="20"/>
                <w:color w:val="auto"/>
              </w:rPr>
            </w:pPr>
            <w:r>
              <w:rPr>
                <w:rFonts w:ascii="Arial" w:cs="Arial" w:eastAsia="Arial" w:hAnsi="Arial"/>
                <w:sz w:val="18"/>
                <w:szCs w:val="18"/>
                <w:color w:val="auto"/>
              </w:rPr>
              <w:t>131,573</w:t>
            </w:r>
          </w:p>
        </w:tc>
        <w:tc>
          <w:tcPr>
            <w:tcW w:w="0" w:type="dxa"/>
            <w:vAlign w:val="bottom"/>
          </w:tcPr>
          <w:p>
            <w:pPr>
              <w:spacing w:after="0"/>
              <w:rPr>
                <w:sz w:val="1"/>
                <w:szCs w:val="1"/>
                <w:color w:val="auto"/>
              </w:rPr>
            </w:pPr>
          </w:p>
        </w:tc>
      </w:tr>
      <w:tr>
        <w:trPr>
          <w:trHeight w:val="486"/>
        </w:trPr>
        <w:tc>
          <w:tcPr>
            <w:tcW w:w="5860" w:type="dxa"/>
            <w:vAlign w:val="bottom"/>
          </w:tcPr>
          <w:p>
            <w:pPr>
              <w:spacing w:after="0"/>
              <w:rPr>
                <w:sz w:val="20"/>
                <w:szCs w:val="20"/>
                <w:color w:val="auto"/>
              </w:rPr>
            </w:pPr>
            <w:r>
              <w:rPr>
                <w:rFonts w:ascii="Arial" w:cs="Arial" w:eastAsia="Arial" w:hAnsi="Arial"/>
                <w:sz w:val="18"/>
                <w:szCs w:val="18"/>
                <w:color w:val="auto"/>
              </w:rPr>
              <w:t>(a) Reported in conformity with U.S. GAAP</w:t>
            </w: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40" w:hanging="295"/>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$5.6 million related to Flowserve 2.0 transformation efforts and $10.4 million related to discrete asset write-downs.</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5"/>
        </w:numPr>
        <w:rPr>
          <w:rFonts w:ascii="Arial" w:cs="Arial" w:eastAsia="Arial" w:hAnsi="Arial"/>
          <w:sz w:val="17"/>
          <w:szCs w:val="17"/>
          <w:color w:val="auto"/>
        </w:rPr>
      </w:pPr>
      <w:r>
        <w:rPr>
          <w:rFonts w:ascii="Arial" w:cs="Arial" w:eastAsia="Arial" w:hAnsi="Arial"/>
          <w:sz w:val="17"/>
          <w:szCs w:val="17"/>
          <w:color w:val="auto"/>
        </w:rPr>
        <w:t>Includes tax impact of items above, $25.4 million related to Italian tax valuation allowance and $2.0 million benefit related to tax reform.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64"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7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3860" w:type="dxa"/>
            <w:vAlign w:val="bottom"/>
            <w:tcBorders>
              <w:bottom w:val="single" w:sz="8" w:color="auto"/>
            </w:tcBorders>
            <w:gridSpan w:val="7"/>
          </w:tcPr>
          <w:p>
            <w:pPr>
              <w:jc w:val="right"/>
              <w:spacing w:after="0"/>
              <w:rPr>
                <w:sz w:val="20"/>
                <w:szCs w:val="20"/>
                <w:color w:val="auto"/>
              </w:rPr>
            </w:pPr>
            <w:r>
              <w:rPr>
                <w:rFonts w:ascii="Arial" w:cs="Arial" w:eastAsia="Arial" w:hAnsi="Arial"/>
                <w:sz w:val="18"/>
                <w:szCs w:val="18"/>
                <w:b w:val="1"/>
                <w:bCs w:val="1"/>
                <w:color w:val="auto"/>
              </w:rPr>
              <w:t>Three Months Ended March 31, 2019</w:t>
            </w:r>
          </w:p>
        </w:tc>
        <w:tc>
          <w:tcPr>
            <w:tcW w:w="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70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400" w:type="dxa"/>
            <w:vAlign w:val="bottom"/>
            <w:tcBorders>
              <w:bottom w:val="single" w:sz="8" w:color="auto"/>
            </w:tcBorders>
            <w:gridSpan w:val="2"/>
          </w:tcPr>
          <w:p>
            <w:pPr>
              <w:jc w:val="right"/>
              <w:ind w:right="10"/>
              <w:spacing w:after="0"/>
              <w:rPr>
                <w:sz w:val="20"/>
                <w:szCs w:val="20"/>
                <w:color w:val="auto"/>
              </w:rPr>
            </w:pPr>
            <w:r>
              <w:rPr>
                <w:rFonts w:ascii="Arial" w:cs="Arial" w:eastAsia="Arial" w:hAnsi="Arial"/>
                <w:sz w:val="18"/>
                <w:szCs w:val="18"/>
                <w:b w:val="1"/>
                <w:bCs w:val="1"/>
                <w:color w:val="auto"/>
                <w:w w:val="95"/>
              </w:rPr>
              <w:t>As Reported (a)</w:t>
            </w:r>
          </w:p>
        </w:tc>
        <w:tc>
          <w:tcPr>
            <w:tcW w:w="140" w:type="dxa"/>
            <w:vAlign w:val="bottom"/>
          </w:tcPr>
          <w:p>
            <w:pPr>
              <w:spacing w:after="0"/>
              <w:rPr>
                <w:sz w:val="21"/>
                <w:szCs w:val="21"/>
                <w:color w:val="auto"/>
              </w:rPr>
            </w:pPr>
          </w:p>
        </w:tc>
        <w:tc>
          <w:tcPr>
            <w:tcW w:w="130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b w:val="1"/>
                <w:bCs w:val="1"/>
                <w:color w:val="auto"/>
                <w:w w:val="93"/>
              </w:rPr>
              <w:t>Realignment (1)</w:t>
            </w:r>
          </w:p>
        </w:tc>
        <w:tc>
          <w:tcPr>
            <w:tcW w:w="220" w:type="dxa"/>
            <w:vAlign w:val="bottom"/>
          </w:tcPr>
          <w:p>
            <w:pPr>
              <w:spacing w:after="0"/>
              <w:rPr>
                <w:sz w:val="21"/>
                <w:szCs w:val="21"/>
                <w:color w:val="auto"/>
              </w:rPr>
            </w:pPr>
          </w:p>
        </w:tc>
        <w:tc>
          <w:tcPr>
            <w:tcW w:w="1160" w:type="dxa"/>
            <w:vAlign w:val="bottom"/>
            <w:tcBorders>
              <w:bottom w:val="single" w:sz="8" w:color="auto"/>
            </w:tcBorders>
            <w:gridSpan w:val="2"/>
          </w:tcPr>
          <w:p>
            <w:pPr>
              <w:jc w:val="right"/>
              <w:ind w:right="30"/>
              <w:spacing w:after="0"/>
              <w:rPr>
                <w:sz w:val="20"/>
                <w:szCs w:val="20"/>
                <w:color w:val="auto"/>
              </w:rPr>
            </w:pPr>
            <w:r>
              <w:rPr>
                <w:rFonts w:ascii="Arial" w:cs="Arial" w:eastAsia="Arial" w:hAnsi="Arial"/>
                <w:sz w:val="18"/>
                <w:szCs w:val="18"/>
                <w:b w:val="1"/>
                <w:bCs w:val="1"/>
                <w:color w:val="auto"/>
              </w:rPr>
              <w:t>Other Items</w:t>
            </w:r>
          </w:p>
        </w:tc>
        <w:tc>
          <w:tcPr>
            <w:tcW w:w="20" w:type="dxa"/>
            <w:vAlign w:val="bottom"/>
            <w:tcBorders>
              <w:bottom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b w:val="1"/>
                <w:bCs w:val="1"/>
                <w:color w:val="auto"/>
                <w:w w:val="95"/>
              </w:rPr>
              <w:t>As Adjusted</w:t>
            </w:r>
          </w:p>
        </w:tc>
        <w:tc>
          <w:tcPr>
            <w:tcW w:w="0" w:type="dxa"/>
            <w:vAlign w:val="bottom"/>
          </w:tcPr>
          <w:p>
            <w:pPr>
              <w:spacing w:after="0"/>
              <w:rPr>
                <w:sz w:val="1"/>
                <w:szCs w:val="1"/>
                <w:color w:val="auto"/>
              </w:rPr>
            </w:pPr>
          </w:p>
        </w:tc>
      </w:tr>
      <w:tr>
        <w:trPr>
          <w:trHeight w:val="466"/>
        </w:trPr>
        <w:tc>
          <w:tcPr>
            <w:tcW w:w="5700" w:type="dxa"/>
            <w:vAlign w:val="bottom"/>
          </w:tcPr>
          <w:p>
            <w:pPr>
              <w:spacing w:after="0"/>
              <w:rPr>
                <w:sz w:val="20"/>
                <w:szCs w:val="20"/>
                <w:color w:val="auto"/>
              </w:rPr>
            </w:pPr>
            <w:r>
              <w:rPr>
                <w:rFonts w:ascii="Arial" w:cs="Arial" w:eastAsia="Arial" w:hAnsi="Arial"/>
                <w:sz w:val="18"/>
                <w:szCs w:val="18"/>
                <w:color w:val="auto"/>
              </w:rPr>
              <w:t>Sales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890,051</w:t>
            </w:r>
          </w:p>
        </w:tc>
        <w:tc>
          <w:tcPr>
            <w:tcW w:w="4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ind w:left="6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890,051</w:t>
            </w:r>
          </w:p>
        </w:tc>
        <w:tc>
          <w:tcPr>
            <w:tcW w:w="0" w:type="dxa"/>
            <w:vAlign w:val="bottom"/>
          </w:tcPr>
          <w:p>
            <w:pPr>
              <w:spacing w:after="0"/>
              <w:rPr>
                <w:sz w:val="1"/>
                <w:szCs w:val="1"/>
                <w:color w:val="auto"/>
              </w:rPr>
            </w:pPr>
          </w:p>
        </w:tc>
      </w:tr>
      <w:tr>
        <w:trPr>
          <w:trHeight w:val="459"/>
        </w:trPr>
        <w:tc>
          <w:tcPr>
            <w:tcW w:w="5700" w:type="dxa"/>
            <w:vAlign w:val="bottom"/>
          </w:tcPr>
          <w:p>
            <w:pPr>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294,076</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(5,500)</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299,576</w:t>
            </w:r>
          </w:p>
        </w:tc>
        <w:tc>
          <w:tcPr>
            <w:tcW w:w="0" w:type="dxa"/>
            <w:vAlign w:val="bottom"/>
          </w:tcPr>
          <w:p>
            <w:pPr>
              <w:spacing w:after="0"/>
              <w:rPr>
                <w:sz w:val="1"/>
                <w:szCs w:val="1"/>
                <w:color w:val="auto"/>
              </w:rPr>
            </w:pPr>
          </w:p>
        </w:tc>
      </w:tr>
      <w:tr>
        <w:trPr>
          <w:trHeight w:val="459"/>
        </w:trPr>
        <w:tc>
          <w:tcPr>
            <w:tcW w:w="5700" w:type="dxa"/>
            <w:vAlign w:val="bottom"/>
          </w:tcPr>
          <w:p>
            <w:pPr>
              <w:ind w:left="420"/>
              <w:spacing w:after="0"/>
              <w:rPr>
                <w:sz w:val="20"/>
                <w:szCs w:val="20"/>
                <w:color w:val="auto"/>
              </w:rPr>
            </w:pPr>
            <w:r>
              <w:rPr>
                <w:rFonts w:ascii="Arial" w:cs="Arial" w:eastAsia="Arial" w:hAnsi="Arial"/>
                <w:sz w:val="18"/>
                <w:szCs w:val="18"/>
                <w:i w:val="1"/>
                <w:iCs w:val="1"/>
                <w:color w:val="auto"/>
              </w:rPr>
              <w:t>Gross margin</w:t>
            </w:r>
          </w:p>
        </w:tc>
        <w:tc>
          <w:tcPr>
            <w:tcW w:w="3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33.0%</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33.7%</w:t>
            </w:r>
          </w:p>
        </w:tc>
        <w:tc>
          <w:tcPr>
            <w:tcW w:w="0" w:type="dxa"/>
            <w:vAlign w:val="bottom"/>
          </w:tcPr>
          <w:p>
            <w:pPr>
              <w:spacing w:after="0"/>
              <w:rPr>
                <w:sz w:val="1"/>
                <w:szCs w:val="1"/>
                <w:color w:val="auto"/>
              </w:rPr>
            </w:pPr>
          </w:p>
        </w:tc>
      </w:tr>
      <w:tr>
        <w:trPr>
          <w:trHeight w:val="702"/>
        </w:trPr>
        <w:tc>
          <w:tcPr>
            <w:tcW w:w="570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360" w:type="dxa"/>
            <w:vAlign w:val="bottom"/>
          </w:tcPr>
          <w:p>
            <w:pPr>
              <w:spacing w:after="0"/>
              <w:rPr>
                <w:sz w:val="24"/>
                <w:szCs w:val="24"/>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(205,154)</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17,430</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(8,413)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w w:val="90"/>
              </w:rPr>
              <w:t>(3)</w:t>
            </w:r>
          </w:p>
        </w:tc>
        <w:tc>
          <w:tcPr>
            <w:tcW w:w="22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w w:val="98"/>
              </w:rPr>
              <w:t>(214,171)</w:t>
            </w:r>
          </w:p>
        </w:tc>
        <w:tc>
          <w:tcPr>
            <w:tcW w:w="0" w:type="dxa"/>
            <w:vAlign w:val="bottom"/>
          </w:tcPr>
          <w:p>
            <w:pPr>
              <w:spacing w:after="0"/>
              <w:rPr>
                <w:sz w:val="1"/>
                <w:szCs w:val="1"/>
                <w:color w:val="auto"/>
              </w:rPr>
            </w:pPr>
          </w:p>
        </w:tc>
      </w:tr>
      <w:tr>
        <w:trPr>
          <w:trHeight w:val="459"/>
        </w:trPr>
        <w:tc>
          <w:tcPr>
            <w:tcW w:w="5700" w:type="dxa"/>
            <w:vAlign w:val="bottom"/>
          </w:tcPr>
          <w:p>
            <w:pPr>
              <w:ind w:left="220"/>
              <w:spacing w:after="0"/>
              <w:rPr>
                <w:sz w:val="20"/>
                <w:szCs w:val="20"/>
                <w:color w:val="auto"/>
              </w:rPr>
            </w:pPr>
            <w:r>
              <w:rPr>
                <w:rFonts w:ascii="Arial" w:cs="Arial" w:eastAsia="Arial" w:hAnsi="Arial"/>
                <w:sz w:val="18"/>
                <w:szCs w:val="18"/>
                <w:color w:val="auto"/>
              </w:rPr>
              <w:t>Loss on sale of business</w:t>
            </w:r>
          </w:p>
        </w:tc>
        <w:tc>
          <w:tcPr>
            <w:tcW w:w="360" w:type="dxa"/>
            <w:vAlign w:val="bottom"/>
          </w:tcPr>
          <w:p>
            <w:pPr>
              <w:spacing w:after="0"/>
              <w:rPr>
                <w:sz w:val="24"/>
                <w:szCs w:val="24"/>
                <w:color w:val="auto"/>
              </w:rPr>
            </w:pPr>
          </w:p>
        </w:tc>
        <w:tc>
          <w:tcPr>
            <w:tcW w:w="10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702"/>
        </w:trPr>
        <w:tc>
          <w:tcPr>
            <w:tcW w:w="5700" w:type="dxa"/>
            <w:vAlign w:val="bottom"/>
          </w:tcPr>
          <w:p>
            <w:pPr>
              <w:spacing w:after="0"/>
              <w:rPr>
                <w:sz w:val="20"/>
                <w:szCs w:val="20"/>
                <w:color w:val="auto"/>
              </w:rPr>
            </w:pPr>
            <w:r>
              <w:rPr>
                <w:rFonts w:ascii="Arial" w:cs="Arial" w:eastAsia="Arial" w:hAnsi="Arial"/>
                <w:sz w:val="18"/>
                <w:szCs w:val="18"/>
                <w:color w:val="auto"/>
              </w:rPr>
              <w:t>Operating income</w:t>
            </w:r>
          </w:p>
        </w:tc>
        <w:tc>
          <w:tcPr>
            <w:tcW w:w="36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91,231</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11,930</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(8,413)</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87,714</w:t>
            </w:r>
          </w:p>
        </w:tc>
        <w:tc>
          <w:tcPr>
            <w:tcW w:w="0" w:type="dxa"/>
            <w:vAlign w:val="bottom"/>
          </w:tcPr>
          <w:p>
            <w:pPr>
              <w:spacing w:after="0"/>
              <w:rPr>
                <w:sz w:val="1"/>
                <w:szCs w:val="1"/>
                <w:color w:val="auto"/>
              </w:rPr>
            </w:pPr>
          </w:p>
        </w:tc>
      </w:tr>
      <w:tr>
        <w:trPr>
          <w:trHeight w:val="459"/>
        </w:trPr>
        <w:tc>
          <w:tcPr>
            <w:tcW w:w="5700" w:type="dxa"/>
            <w:vAlign w:val="bottom"/>
          </w:tcPr>
          <w:p>
            <w:pPr>
              <w:ind w:left="420"/>
              <w:spacing w:after="0"/>
              <w:rPr>
                <w:sz w:val="20"/>
                <w:szCs w:val="20"/>
                <w:color w:val="auto"/>
              </w:rPr>
            </w:pPr>
            <w:r>
              <w:rPr>
                <w:rFonts w:ascii="Arial" w:cs="Arial" w:eastAsia="Arial" w:hAnsi="Arial"/>
                <w:sz w:val="18"/>
                <w:szCs w:val="18"/>
                <w:i w:val="1"/>
                <w:iCs w:val="1"/>
                <w:color w:val="auto"/>
              </w:rPr>
              <w:t>Operating income as a percentage of sales</w:t>
            </w:r>
          </w:p>
        </w:tc>
        <w:tc>
          <w:tcPr>
            <w:tcW w:w="3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10.3%</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9.9%</w:t>
            </w:r>
          </w:p>
        </w:tc>
        <w:tc>
          <w:tcPr>
            <w:tcW w:w="0" w:type="dxa"/>
            <w:vAlign w:val="bottom"/>
          </w:tcPr>
          <w:p>
            <w:pPr>
              <w:spacing w:after="0"/>
              <w:rPr>
                <w:sz w:val="1"/>
                <w:szCs w:val="1"/>
                <w:color w:val="auto"/>
              </w:rPr>
            </w:pPr>
          </w:p>
        </w:tc>
      </w:tr>
      <w:tr>
        <w:trPr>
          <w:trHeight w:val="702"/>
        </w:trPr>
        <w:tc>
          <w:tcPr>
            <w:tcW w:w="570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360" w:type="dxa"/>
            <w:vAlign w:val="bottom"/>
          </w:tcPr>
          <w:p>
            <w:pPr>
              <w:spacing w:after="0"/>
              <w:rPr>
                <w:sz w:val="24"/>
                <w:szCs w:val="24"/>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(15,148)</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(2,707)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w w:val="90"/>
              </w:rPr>
              <w:t>(4)</w:t>
            </w:r>
          </w:p>
        </w:tc>
        <w:tc>
          <w:tcPr>
            <w:tcW w:w="22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(12,441)</w:t>
            </w:r>
          </w:p>
        </w:tc>
        <w:tc>
          <w:tcPr>
            <w:tcW w:w="0" w:type="dxa"/>
            <w:vAlign w:val="bottom"/>
          </w:tcPr>
          <w:p>
            <w:pPr>
              <w:spacing w:after="0"/>
              <w:rPr>
                <w:sz w:val="1"/>
                <w:szCs w:val="1"/>
                <w:color w:val="auto"/>
              </w:rPr>
            </w:pPr>
          </w:p>
        </w:tc>
      </w:tr>
      <w:tr>
        <w:trPr>
          <w:trHeight w:val="702"/>
        </w:trPr>
        <w:tc>
          <w:tcPr>
            <w:tcW w:w="570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36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76,083</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11,930</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(11,120)</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75,273</w:t>
            </w:r>
          </w:p>
        </w:tc>
        <w:tc>
          <w:tcPr>
            <w:tcW w:w="0" w:type="dxa"/>
            <w:vAlign w:val="bottom"/>
          </w:tcPr>
          <w:p>
            <w:pPr>
              <w:spacing w:after="0"/>
              <w:rPr>
                <w:sz w:val="1"/>
                <w:szCs w:val="1"/>
                <w:color w:val="auto"/>
              </w:rPr>
            </w:pPr>
          </w:p>
        </w:tc>
      </w:tr>
      <w:tr>
        <w:trPr>
          <w:trHeight w:val="459"/>
        </w:trPr>
        <w:tc>
          <w:tcPr>
            <w:tcW w:w="570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360" w:type="dxa"/>
            <w:vAlign w:val="bottom"/>
          </w:tcPr>
          <w:p>
            <w:pPr>
              <w:spacing w:after="0"/>
              <w:rPr>
                <w:sz w:val="24"/>
                <w:szCs w:val="24"/>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(16,587)</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(19) (2)</w:t>
            </w:r>
          </w:p>
        </w:tc>
        <w:tc>
          <w:tcPr>
            <w:tcW w:w="28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2,711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w w:val="90"/>
              </w:rPr>
              <w:t>(5)</w:t>
            </w:r>
          </w:p>
        </w:tc>
        <w:tc>
          <w:tcPr>
            <w:tcW w:w="22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(19,279)</w:t>
            </w:r>
          </w:p>
        </w:tc>
        <w:tc>
          <w:tcPr>
            <w:tcW w:w="0" w:type="dxa"/>
            <w:vAlign w:val="bottom"/>
          </w:tcPr>
          <w:p>
            <w:pPr>
              <w:spacing w:after="0"/>
              <w:rPr>
                <w:sz w:val="1"/>
                <w:szCs w:val="1"/>
                <w:color w:val="auto"/>
              </w:rPr>
            </w:pPr>
          </w:p>
        </w:tc>
      </w:tr>
      <w:tr>
        <w:trPr>
          <w:trHeight w:val="243"/>
        </w:trPr>
        <w:tc>
          <w:tcPr>
            <w:tcW w:w="5700" w:type="dxa"/>
            <w:vAlign w:val="bottom"/>
          </w:tcPr>
          <w:p>
            <w:pPr>
              <w:ind w:left="420"/>
              <w:spacing w:after="0"/>
              <w:rPr>
                <w:sz w:val="20"/>
                <w:szCs w:val="20"/>
                <w:color w:val="auto"/>
              </w:rPr>
            </w:pPr>
            <w:r>
              <w:rPr>
                <w:rFonts w:ascii="Arial" w:cs="Arial" w:eastAsia="Arial" w:hAnsi="Arial"/>
                <w:sz w:val="18"/>
                <w:szCs w:val="18"/>
                <w:i w:val="1"/>
                <w:iCs w:val="1"/>
                <w:color w:val="auto"/>
              </w:rPr>
              <w:t>Tax Rate</w:t>
            </w:r>
          </w:p>
        </w:tc>
        <w:tc>
          <w:tcPr>
            <w:tcW w:w="36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21.8%</w:t>
            </w:r>
          </w:p>
        </w:tc>
        <w:tc>
          <w:tcPr>
            <w:tcW w:w="1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i w:val="1"/>
                <w:iCs w:val="1"/>
                <w:color w:val="auto"/>
              </w:rPr>
              <w:t>0.2%</w:t>
            </w: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24.4%</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25.6%</w:t>
            </w:r>
          </w:p>
        </w:tc>
        <w:tc>
          <w:tcPr>
            <w:tcW w:w="0" w:type="dxa"/>
            <w:vAlign w:val="bottom"/>
          </w:tcPr>
          <w:p>
            <w:pPr>
              <w:spacing w:after="0"/>
              <w:rPr>
                <w:sz w:val="1"/>
                <w:szCs w:val="1"/>
                <w:color w:val="auto"/>
              </w:rPr>
            </w:pPr>
          </w:p>
        </w:tc>
      </w:tr>
      <w:tr>
        <w:trPr>
          <w:trHeight w:val="486"/>
        </w:trPr>
        <w:tc>
          <w:tcPr>
            <w:tcW w:w="570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36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040" w:type="dxa"/>
            <w:vAlign w:val="bottom"/>
          </w:tcPr>
          <w:p>
            <w:pPr>
              <w:jc w:val="right"/>
              <w:ind w:right="70"/>
              <w:spacing w:after="0"/>
              <w:rPr>
                <w:sz w:val="20"/>
                <w:szCs w:val="20"/>
                <w:color w:val="auto"/>
              </w:rPr>
            </w:pPr>
            <w:r>
              <w:rPr>
                <w:rFonts w:ascii="Arial" w:cs="Arial" w:eastAsia="Arial" w:hAnsi="Arial"/>
                <w:sz w:val="18"/>
                <w:szCs w:val="18"/>
                <w:b w:val="1"/>
                <w:bCs w:val="1"/>
                <w:color w:val="auto"/>
              </w:rPr>
              <w:t>57,261</w:t>
            </w:r>
          </w:p>
        </w:tc>
        <w:tc>
          <w:tcPr>
            <w:tcW w:w="480" w:type="dxa"/>
            <w:vAlign w:val="bottom"/>
            <w:gridSpan w:val="2"/>
          </w:tcPr>
          <w:p>
            <w:pPr>
              <w:ind w:left="18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ind w:right="70"/>
              <w:spacing w:after="0"/>
              <w:rPr>
                <w:sz w:val="20"/>
                <w:szCs w:val="20"/>
                <w:color w:val="auto"/>
              </w:rPr>
            </w:pPr>
            <w:r>
              <w:rPr>
                <w:rFonts w:ascii="Arial" w:cs="Arial" w:eastAsia="Arial" w:hAnsi="Arial"/>
                <w:sz w:val="18"/>
                <w:szCs w:val="18"/>
                <w:b w:val="1"/>
                <w:bCs w:val="1"/>
                <w:color w:val="auto"/>
              </w:rPr>
              <w:t>11,911</w:t>
            </w:r>
          </w:p>
        </w:tc>
        <w:tc>
          <w:tcPr>
            <w:tcW w:w="220" w:type="dxa"/>
            <w:vAlign w:val="bottom"/>
          </w:tcPr>
          <w:p>
            <w:pPr>
              <w:spacing w:after="0"/>
              <w:rPr>
                <w:sz w:val="24"/>
                <w:szCs w:val="24"/>
                <w:color w:val="auto"/>
              </w:rPr>
            </w:pPr>
          </w:p>
        </w:tc>
        <w:tc>
          <w:tcPr>
            <w:tcW w:w="280" w:type="dxa"/>
            <w:vAlign w:val="bottom"/>
          </w:tcPr>
          <w:p>
            <w:pPr>
              <w:jc w:val="right"/>
              <w:ind w:right="50"/>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b w:val="1"/>
                <w:bCs w:val="1"/>
                <w:color w:val="auto"/>
              </w:rPr>
              <w:t>(8,409)</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ind w:left="60"/>
              <w:spacing w:after="0"/>
              <w:rPr>
                <w:sz w:val="20"/>
                <w:szCs w:val="20"/>
                <w:color w:val="auto"/>
              </w:rPr>
            </w:pPr>
            <w:r>
              <w:rPr>
                <w:rFonts w:ascii="Arial" w:cs="Arial" w:eastAsia="Arial" w:hAnsi="Arial"/>
                <w:sz w:val="18"/>
                <w:szCs w:val="18"/>
                <w:b w:val="1"/>
                <w:bCs w:val="1"/>
                <w:color w:val="auto"/>
              </w:rPr>
              <w:t>$</w:t>
            </w:r>
          </w:p>
        </w:tc>
        <w:tc>
          <w:tcPr>
            <w:tcW w:w="880" w:type="dxa"/>
            <w:vAlign w:val="bottom"/>
          </w:tcPr>
          <w:p>
            <w:pPr>
              <w:jc w:val="right"/>
              <w:ind w:right="70"/>
              <w:spacing w:after="0"/>
              <w:rPr>
                <w:sz w:val="20"/>
                <w:szCs w:val="20"/>
                <w:color w:val="auto"/>
              </w:rPr>
            </w:pPr>
            <w:r>
              <w:rPr>
                <w:rFonts w:ascii="Arial" w:cs="Arial" w:eastAsia="Arial" w:hAnsi="Arial"/>
                <w:sz w:val="18"/>
                <w:szCs w:val="18"/>
                <w:b w:val="1"/>
                <w:bCs w:val="1"/>
                <w:color w:val="auto"/>
              </w:rPr>
              <w:t>53,759</w:t>
            </w:r>
          </w:p>
        </w:tc>
        <w:tc>
          <w:tcPr>
            <w:tcW w:w="0" w:type="dxa"/>
            <w:vAlign w:val="bottom"/>
          </w:tcPr>
          <w:p>
            <w:pPr>
              <w:spacing w:after="0"/>
              <w:rPr>
                <w:sz w:val="1"/>
                <w:szCs w:val="1"/>
                <w:color w:val="auto"/>
              </w:rPr>
            </w:pPr>
          </w:p>
        </w:tc>
      </w:tr>
      <w:tr>
        <w:trPr>
          <w:trHeight w:val="472"/>
        </w:trPr>
        <w:tc>
          <w:tcPr>
            <w:tcW w:w="5700" w:type="dxa"/>
            <w:vAlign w:val="bottom"/>
          </w:tcPr>
          <w:p>
            <w:pPr>
              <w:spacing w:after="0"/>
              <w:rPr>
                <w:sz w:val="20"/>
                <w:szCs w:val="20"/>
                <w:color w:val="auto"/>
              </w:rPr>
            </w:pPr>
            <w:r>
              <w:rPr>
                <w:rFonts w:ascii="Arial" w:cs="Arial" w:eastAsia="Arial" w:hAnsi="Arial"/>
                <w:sz w:val="18"/>
                <w:szCs w:val="18"/>
                <w:color w:val="auto"/>
              </w:rPr>
              <w:t>Net earnings per share attributable to Flowserve Corporation common</w:t>
            </w:r>
          </w:p>
        </w:tc>
        <w:tc>
          <w:tcPr>
            <w:tcW w:w="3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700" w:type="dxa"/>
            <w:vAlign w:val="bottom"/>
          </w:tcPr>
          <w:p>
            <w:pPr>
              <w:spacing w:after="0"/>
              <w:rPr>
                <w:sz w:val="20"/>
                <w:szCs w:val="20"/>
                <w:color w:val="auto"/>
              </w:rPr>
            </w:pPr>
            <w:r>
              <w:rPr>
                <w:rFonts w:ascii="Arial" w:cs="Arial" w:eastAsia="Arial" w:hAnsi="Arial"/>
                <w:sz w:val="18"/>
                <w:szCs w:val="18"/>
                <w:color w:val="auto"/>
              </w:rPr>
              <w:t>shareholders:</w:t>
            </w:r>
          </w:p>
        </w:tc>
        <w:tc>
          <w:tcPr>
            <w:tcW w:w="3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700" w:type="dxa"/>
            <w:vAlign w:val="bottom"/>
          </w:tcPr>
          <w:p>
            <w:pPr>
              <w:ind w:left="220"/>
              <w:spacing w:after="0"/>
              <w:rPr>
                <w:sz w:val="20"/>
                <w:szCs w:val="20"/>
                <w:color w:val="auto"/>
              </w:rPr>
            </w:pPr>
            <w:r>
              <w:rPr>
                <w:rFonts w:ascii="Arial" w:cs="Arial" w:eastAsia="Arial" w:hAnsi="Arial"/>
                <w:sz w:val="18"/>
                <w:szCs w:val="18"/>
                <w:color w:val="auto"/>
              </w:rPr>
              <w:t>Basic</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0.44</w:t>
            </w:r>
          </w:p>
        </w:tc>
        <w:tc>
          <w:tcPr>
            <w:tcW w:w="4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0.09</w:t>
            </w:r>
          </w:p>
        </w:tc>
        <w:tc>
          <w:tcPr>
            <w:tcW w:w="220" w:type="dxa"/>
            <w:vAlign w:val="bottom"/>
          </w:tcPr>
          <w:p>
            <w:pPr>
              <w:spacing w:after="0"/>
              <w:rPr>
                <w:sz w:val="21"/>
                <w:szCs w:val="21"/>
                <w:color w:val="auto"/>
              </w:rPr>
            </w:pP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(0.06)</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ind w:left="6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43"/>
        </w:trPr>
        <w:tc>
          <w:tcPr>
            <w:tcW w:w="5700" w:type="dxa"/>
            <w:vAlign w:val="bottom"/>
          </w:tcPr>
          <w:p>
            <w:pPr>
              <w:ind w:left="220"/>
              <w:spacing w:after="0"/>
              <w:rPr>
                <w:sz w:val="20"/>
                <w:szCs w:val="20"/>
                <w:color w:val="auto"/>
              </w:rPr>
            </w:pPr>
            <w:r>
              <w:rPr>
                <w:rFonts w:ascii="Arial" w:cs="Arial" w:eastAsia="Arial" w:hAnsi="Arial"/>
                <w:sz w:val="18"/>
                <w:szCs w:val="18"/>
                <w:color w:val="auto"/>
              </w:rPr>
              <w:t>Diluted</w:t>
            </w:r>
          </w:p>
        </w:tc>
        <w:tc>
          <w:tcPr>
            <w:tcW w:w="360" w:type="dxa"/>
            <w:vAlign w:val="bottom"/>
          </w:tcPr>
          <w:p>
            <w:pPr>
              <w:spacing w:after="0"/>
              <w:rPr>
                <w:sz w:val="21"/>
                <w:szCs w:val="21"/>
                <w:color w:val="auto"/>
              </w:rPr>
            </w:pPr>
          </w:p>
        </w:tc>
        <w:tc>
          <w:tcPr>
            <w:tcW w:w="1040" w:type="dxa"/>
            <w:vAlign w:val="bottom"/>
            <w:vMerge w:val="restart"/>
          </w:tcPr>
          <w:p>
            <w:pPr>
              <w:jc w:val="right"/>
              <w:ind w:right="70"/>
              <w:spacing w:after="0"/>
              <w:rPr>
                <w:sz w:val="20"/>
                <w:szCs w:val="20"/>
                <w:color w:val="auto"/>
              </w:rPr>
            </w:pPr>
            <w:r>
              <w:rPr>
                <w:rFonts w:ascii="Arial" w:cs="Arial" w:eastAsia="Arial" w:hAnsi="Arial"/>
                <w:sz w:val="18"/>
                <w:szCs w:val="18"/>
                <w:color w:val="auto"/>
              </w:rPr>
              <w:t>0.44</w:t>
            </w:r>
          </w:p>
        </w:tc>
        <w:tc>
          <w:tcPr>
            <w:tcW w:w="1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60" w:type="dxa"/>
            <w:vAlign w:val="bottom"/>
            <w:vMerge w:val="restart"/>
          </w:tcPr>
          <w:p>
            <w:pPr>
              <w:jc w:val="right"/>
              <w:ind w:right="70"/>
              <w:spacing w:after="0"/>
              <w:rPr>
                <w:sz w:val="20"/>
                <w:szCs w:val="20"/>
                <w:color w:val="auto"/>
              </w:rPr>
            </w:pPr>
            <w:r>
              <w:rPr>
                <w:rFonts w:ascii="Arial" w:cs="Arial" w:eastAsia="Arial" w:hAnsi="Arial"/>
                <w:sz w:val="18"/>
                <w:szCs w:val="18"/>
                <w:color w:val="auto"/>
              </w:rPr>
              <w:t>0.09</w:t>
            </w: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vMerge w:val="restart"/>
          </w:tcPr>
          <w:p>
            <w:pPr>
              <w:jc w:val="right"/>
              <w:ind w:right="10"/>
              <w:spacing w:after="0"/>
              <w:rPr>
                <w:sz w:val="20"/>
                <w:szCs w:val="20"/>
                <w:color w:val="auto"/>
              </w:rPr>
            </w:pPr>
            <w:r>
              <w:rPr>
                <w:rFonts w:ascii="Arial" w:cs="Arial" w:eastAsia="Arial" w:hAnsi="Arial"/>
                <w:sz w:val="18"/>
                <w:szCs w:val="18"/>
                <w:color w:val="auto"/>
              </w:rPr>
              <w:t>(0.06)</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vMerge w:val="restart"/>
          </w:tcPr>
          <w:p>
            <w:pPr>
              <w:jc w:val="right"/>
              <w:ind w:right="7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16"/>
        </w:trPr>
        <w:tc>
          <w:tcPr>
            <w:tcW w:w="57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02"/>
        </w:trPr>
        <w:tc>
          <w:tcPr>
            <w:tcW w:w="570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36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130,982</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130,982</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130,982</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130,982</w:t>
            </w:r>
          </w:p>
        </w:tc>
        <w:tc>
          <w:tcPr>
            <w:tcW w:w="0" w:type="dxa"/>
            <w:vAlign w:val="bottom"/>
          </w:tcPr>
          <w:p>
            <w:pPr>
              <w:spacing w:after="0"/>
              <w:rPr>
                <w:sz w:val="1"/>
                <w:szCs w:val="1"/>
                <w:color w:val="auto"/>
              </w:rPr>
            </w:pPr>
          </w:p>
        </w:tc>
      </w:tr>
      <w:tr>
        <w:trPr>
          <w:trHeight w:val="459"/>
        </w:trPr>
        <w:tc>
          <w:tcPr>
            <w:tcW w:w="570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36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131,532</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jc w:val="right"/>
              <w:ind w:right="70"/>
              <w:spacing w:after="0"/>
              <w:rPr>
                <w:sz w:val="20"/>
                <w:szCs w:val="20"/>
                <w:color w:val="auto"/>
              </w:rPr>
            </w:pPr>
            <w:r>
              <w:rPr>
                <w:rFonts w:ascii="Arial" w:cs="Arial" w:eastAsia="Arial" w:hAnsi="Arial"/>
                <w:sz w:val="18"/>
                <w:szCs w:val="18"/>
                <w:color w:val="auto"/>
              </w:rPr>
              <w:t>131,532</w:t>
            </w: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131,532</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131,532</w:t>
            </w:r>
          </w:p>
        </w:tc>
        <w:tc>
          <w:tcPr>
            <w:tcW w:w="0" w:type="dxa"/>
            <w:vAlign w:val="bottom"/>
          </w:tcPr>
          <w:p>
            <w:pPr>
              <w:spacing w:after="0"/>
              <w:rPr>
                <w:sz w:val="1"/>
                <w:szCs w:val="1"/>
                <w:color w:val="auto"/>
              </w:rPr>
            </w:pPr>
          </w:p>
        </w:tc>
      </w:tr>
      <w:tr>
        <w:trPr>
          <w:trHeight w:val="486"/>
        </w:trPr>
        <w:tc>
          <w:tcPr>
            <w:tcW w:w="5700" w:type="dxa"/>
            <w:vAlign w:val="bottom"/>
          </w:tcPr>
          <w:p>
            <w:pPr>
              <w:spacing w:after="0"/>
              <w:rPr>
                <w:sz w:val="20"/>
                <w:szCs w:val="20"/>
                <w:color w:val="auto"/>
              </w:rPr>
            </w:pPr>
            <w:r>
              <w:rPr>
                <w:rFonts w:ascii="Arial" w:cs="Arial" w:eastAsia="Arial" w:hAnsi="Arial"/>
                <w:sz w:val="18"/>
                <w:szCs w:val="18"/>
                <w:color w:val="auto"/>
              </w:rPr>
              <w:t>(a) Reported in conformity with U.S. GAAP</w:t>
            </w:r>
          </w:p>
        </w:tc>
        <w:tc>
          <w:tcPr>
            <w:tcW w:w="3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14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340" w:right="140" w:firstLine="5"/>
        <w:spacing w:after="0" w:line="266" w:lineRule="auto"/>
        <w:tabs>
          <w:tab w:leader="none" w:pos="595"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realignment (expense) income incurred as a result of realignment programs. Income in selling, general and administrative due to gains from the sales of non-strategic manufacturing facilities that are included in our Realignment Programs.</w:t>
      </w:r>
    </w:p>
    <w:p>
      <w:pPr>
        <w:ind w:left="640" w:hanging="295"/>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Flowserve 2.0 transformation efforts.</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40" w:hanging="295"/>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64"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140" w:type="dxa"/>
            <w:vAlign w:val="bottom"/>
            <w:tcBorders>
              <w:bottom w:val="single" w:sz="8" w:color="auto"/>
            </w:tcBorders>
          </w:tcPr>
          <w:p>
            <w:pPr>
              <w:spacing w:after="0"/>
              <w:rPr>
                <w:sz w:val="21"/>
                <w:szCs w:val="21"/>
                <w:color w:val="auto"/>
              </w:rPr>
            </w:pPr>
          </w:p>
        </w:tc>
        <w:tc>
          <w:tcPr>
            <w:tcW w:w="26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8"/>
                <w:szCs w:val="18"/>
                <w:b w:val="1"/>
                <w:bCs w:val="1"/>
                <w:color w:val="auto"/>
                <w:w w:val="93"/>
              </w:rPr>
              <w:t>Three Months Ended March 31,</w:t>
            </w:r>
          </w:p>
        </w:tc>
      </w:tr>
      <w:tr>
        <w:trPr>
          <w:trHeight w:val="236"/>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2019</w:t>
            </w: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685.1</w:t>
            </w:r>
          </w:p>
        </w:tc>
        <w:tc>
          <w:tcPr>
            <w:tcW w:w="80" w:type="dxa"/>
            <w:vAlign w:val="bottom"/>
          </w:tcPr>
          <w:p>
            <w:pPr>
              <w:spacing w:after="0"/>
              <w:rPr>
                <w:sz w:val="19"/>
                <w:szCs w:val="19"/>
                <w:color w:val="auto"/>
              </w:rPr>
            </w:pP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750.2</w:t>
            </w: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635.7</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609.4</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195.8</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200.6</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30.8%</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32.9%</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159.2</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122.4</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39.7</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80.5</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6.2%</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13.2%</w:t>
            </w: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140" w:type="dxa"/>
            <w:vAlign w:val="bottom"/>
            <w:tcBorders>
              <w:bottom w:val="single" w:sz="8" w:color="auto"/>
            </w:tcBorders>
          </w:tcPr>
          <w:p>
            <w:pPr>
              <w:spacing w:after="0"/>
              <w:rPr>
                <w:sz w:val="21"/>
                <w:szCs w:val="21"/>
                <w:color w:val="auto"/>
              </w:rPr>
            </w:pPr>
          </w:p>
        </w:tc>
        <w:tc>
          <w:tcPr>
            <w:tcW w:w="26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8"/>
                <w:szCs w:val="18"/>
                <w:b w:val="1"/>
                <w:bCs w:val="1"/>
                <w:color w:val="auto"/>
                <w:w w:val="93"/>
              </w:rPr>
              <w:t>Three Months Ended March 31,</w:t>
            </w:r>
          </w:p>
        </w:tc>
        <w:tc>
          <w:tcPr>
            <w:tcW w:w="4720" w:type="dxa"/>
            <w:vAlign w:val="bottom"/>
          </w:tcPr>
          <w:p>
            <w:pPr>
              <w:spacing w:after="0"/>
              <w:rPr>
                <w:sz w:val="21"/>
                <w:szCs w:val="21"/>
                <w:color w:val="auto"/>
              </w:rPr>
            </w:pPr>
          </w:p>
        </w:tc>
      </w:tr>
      <w:tr>
        <w:trPr>
          <w:trHeight w:val="237"/>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4720" w:type="dxa"/>
            <w:vAlign w:val="bottom"/>
          </w:tcPr>
          <w:p>
            <w:pPr>
              <w:spacing w:after="0"/>
              <w:rPr>
                <w:sz w:val="20"/>
                <w:szCs w:val="20"/>
                <w:color w:val="auto"/>
              </w:rPr>
            </w:pP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296.3</w:t>
            </w:r>
          </w:p>
        </w:tc>
        <w:tc>
          <w:tcPr>
            <w:tcW w:w="80" w:type="dxa"/>
            <w:vAlign w:val="bottom"/>
          </w:tcPr>
          <w:p>
            <w:pPr>
              <w:spacing w:after="0"/>
              <w:rPr>
                <w:sz w:val="19"/>
                <w:szCs w:val="19"/>
                <w:color w:val="auto"/>
              </w:rPr>
            </w:pPr>
          </w:p>
        </w:tc>
        <w:tc>
          <w:tcPr>
            <w:tcW w:w="3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319.8</w:t>
            </w:r>
          </w:p>
        </w:tc>
        <w:tc>
          <w:tcPr>
            <w:tcW w:w="4720" w:type="dxa"/>
            <w:vAlign w:val="bottom"/>
          </w:tcPr>
          <w:p>
            <w:pPr>
              <w:spacing w:after="0"/>
              <w:rPr>
                <w:sz w:val="19"/>
                <w:szCs w:val="19"/>
                <w:color w:val="auto"/>
              </w:rPr>
            </w:pP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260.3</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282.1</w:t>
            </w:r>
          </w:p>
        </w:tc>
        <w:tc>
          <w:tcPr>
            <w:tcW w:w="47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74.4</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97.7</w:t>
            </w:r>
          </w:p>
        </w:tc>
        <w:tc>
          <w:tcPr>
            <w:tcW w:w="47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28.6%</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34.6%</w:t>
            </w:r>
          </w:p>
        </w:tc>
        <w:tc>
          <w:tcPr>
            <w:tcW w:w="47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57.7</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53.3</w:t>
            </w:r>
          </w:p>
        </w:tc>
        <w:tc>
          <w:tcPr>
            <w:tcW w:w="47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40" w:type="dxa"/>
            <w:vAlign w:val="bottom"/>
          </w:tcPr>
          <w:p>
            <w:pPr>
              <w:spacing w:after="0"/>
              <w:rPr>
                <w:sz w:val="21"/>
                <w:szCs w:val="21"/>
                <w:color w:val="auto"/>
              </w:rPr>
            </w:pPr>
          </w:p>
        </w:tc>
        <w:tc>
          <w:tcPr>
            <w:tcW w:w="1180" w:type="dxa"/>
            <w:vAlign w:val="bottom"/>
          </w:tcPr>
          <w:p>
            <w:pPr>
              <w:jc w:val="right"/>
              <w:ind w:right="70"/>
              <w:spacing w:after="0"/>
              <w:rPr>
                <w:sz w:val="20"/>
                <w:szCs w:val="20"/>
                <w:color w:val="auto"/>
              </w:rPr>
            </w:pPr>
            <w:r>
              <w:rPr>
                <w:rFonts w:ascii="Arial" w:cs="Arial" w:eastAsia="Arial" w:hAnsi="Arial"/>
                <w:sz w:val="18"/>
                <w:szCs w:val="18"/>
                <w:color w:val="auto"/>
              </w:rPr>
              <w:t>16.7</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ind w:right="70"/>
              <w:spacing w:after="0"/>
              <w:rPr>
                <w:sz w:val="20"/>
                <w:szCs w:val="20"/>
                <w:color w:val="auto"/>
              </w:rPr>
            </w:pPr>
            <w:r>
              <w:rPr>
                <w:rFonts w:ascii="Arial" w:cs="Arial" w:eastAsia="Arial" w:hAnsi="Arial"/>
                <w:sz w:val="18"/>
                <w:szCs w:val="18"/>
                <w:color w:val="auto"/>
              </w:rPr>
              <w:t>44.4</w:t>
            </w:r>
          </w:p>
        </w:tc>
        <w:tc>
          <w:tcPr>
            <w:tcW w:w="47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6.4%</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15.7%</w:t>
            </w:r>
          </w:p>
        </w:tc>
        <w:tc>
          <w:tcPr>
            <w:tcW w:w="4720" w:type="dxa"/>
            <w:vAlign w:val="bottom"/>
          </w:tcPr>
          <w:p>
            <w:pPr>
              <w:spacing w:after="0"/>
              <w:rPr>
                <w:sz w:val="21"/>
                <w:szCs w:val="21"/>
                <w:color w:val="auto"/>
              </w:rPr>
            </w:pPr>
          </w:p>
        </w:tc>
      </w:tr>
      <w:tr>
        <w:trPr>
          <w:trHeight w:val="196"/>
        </w:trPr>
        <w:tc>
          <w:tcPr>
            <w:tcW w:w="37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72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864" w:right="339" w:bottom="1440" w:gutter="0" w:footer="0" w:header="0"/>
        </w:sectPr>
      </w:pPr>
    </w:p>
    <w:bookmarkStart w:id="10" w:name="page11"/>
    <w:bookmarkEnd w:id="10"/>
    <w:p>
      <w:pPr>
        <w:spacing w:after="0" w:line="99" w:lineRule="exact"/>
        <w:rPr>
          <w:sz w:val="20"/>
          <w:szCs w:val="20"/>
          <w:color w:val="auto"/>
        </w:rPr>
      </w:pPr>
    </w:p>
    <w:p>
      <w:pPr>
        <w:jc w:val="center"/>
        <w:ind w:right="1179"/>
        <w:spacing w:after="0"/>
        <w:rPr>
          <w:sz w:val="20"/>
          <w:szCs w:val="20"/>
          <w:color w:val="auto"/>
        </w:rPr>
      </w:pPr>
      <w:r>
        <w:rPr>
          <w:rFonts w:ascii="Arial" w:cs="Arial" w:eastAsia="Arial" w:hAnsi="Arial"/>
          <w:sz w:val="18"/>
          <w:szCs w:val="18"/>
          <w:b w:val="1"/>
          <w:bCs w:val="1"/>
          <w:color w:val="auto"/>
        </w:rPr>
        <w:t>First Quarter 2020 -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568325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83250" cy="8255"/>
                    </a:xfrm>
                    <a:prstGeom prst="rect">
                      <a:avLst/>
                    </a:prstGeom>
                    <a:noFill/>
                  </pic:spPr>
                </pic:pic>
              </a:graphicData>
            </a:graphic>
          </wp:anchor>
        </w:drawing>
      </w:r>
    </w:p>
    <w:p>
      <w:pPr>
        <w:spacing w:after="0" w:line="34" w:lineRule="exact"/>
        <w:rPr>
          <w:sz w:val="20"/>
          <w:szCs w:val="20"/>
          <w:color w:val="auto"/>
        </w:rPr>
      </w:pPr>
    </w:p>
    <w:p>
      <w:pPr>
        <w:jc w:val="center"/>
        <w:ind w:right="1179"/>
        <w:spacing w:after="0"/>
        <w:rPr>
          <w:sz w:val="20"/>
          <w:szCs w:val="20"/>
          <w:color w:val="auto"/>
        </w:rPr>
      </w:pPr>
      <w:r>
        <w:rPr>
          <w:rFonts w:ascii="Arial" w:cs="Arial" w:eastAsia="Arial" w:hAnsi="Arial"/>
          <w:sz w:val="18"/>
          <w:szCs w:val="18"/>
          <w:color w:val="auto"/>
        </w:rPr>
        <w:t>(dollars in millions, comparison vs. 2019 first quarter, 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512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color w:val="auto"/>
              </w:rPr>
              <w:t>FPD</w:t>
            </w:r>
          </w:p>
        </w:tc>
        <w:tc>
          <w:tcPr>
            <w:tcW w:w="14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color w:val="auto"/>
              </w:rPr>
              <w:t>FCD</w:t>
            </w:r>
          </w:p>
        </w:tc>
      </w:tr>
      <w:tr>
        <w:trPr>
          <w:trHeight w:val="230"/>
        </w:trPr>
        <w:tc>
          <w:tcPr>
            <w:tcW w:w="5120" w:type="dxa"/>
            <w:vAlign w:val="bottom"/>
          </w:tcPr>
          <w:p>
            <w:pPr>
              <w:spacing w:after="0"/>
              <w:rPr>
                <w:sz w:val="20"/>
                <w:szCs w:val="20"/>
                <w:color w:val="auto"/>
              </w:rPr>
            </w:pPr>
            <w:r>
              <w:rPr>
                <w:rFonts w:ascii="Arial" w:cs="Arial" w:eastAsia="Arial" w:hAnsi="Arial"/>
                <w:sz w:val="18"/>
                <w:szCs w:val="18"/>
                <w:color w:val="auto"/>
              </w:rPr>
              <w:t>Bookings</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685.1</w:t>
            </w:r>
          </w:p>
        </w:tc>
        <w:tc>
          <w:tcPr>
            <w:tcW w:w="140" w:type="dxa"/>
            <w:vAlign w:val="bottom"/>
          </w:tcPr>
          <w:p>
            <w:pPr>
              <w:spacing w:after="0"/>
              <w:rPr>
                <w:sz w:val="20"/>
                <w:szCs w:val="20"/>
                <w:color w:val="auto"/>
              </w:rPr>
            </w:pP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296.3</w:t>
            </w:r>
          </w:p>
        </w:tc>
      </w:tr>
      <w:tr>
        <w:trPr>
          <w:trHeight w:val="242"/>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-8.7%</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-7.3%</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-6.7%</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-5.8%</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Sales</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635.7</w:t>
            </w:r>
          </w:p>
        </w:tc>
        <w:tc>
          <w:tcPr>
            <w:tcW w:w="6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260.3</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4.3%</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-7.7%</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6.2%</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-6.4%</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Gross Profit</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195.8</w:t>
            </w:r>
          </w:p>
        </w:tc>
        <w:tc>
          <w:tcPr>
            <w:tcW w:w="6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74.4</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-2.4%</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-23.8%</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Gross Margin (% of sales)</w:t>
            </w:r>
          </w:p>
        </w:tc>
        <w:tc>
          <w:tcPr>
            <w:tcW w:w="520" w:type="dxa"/>
            <w:vAlign w:val="bottom"/>
          </w:tcPr>
          <w:p>
            <w:pPr>
              <w:spacing w:after="0"/>
              <w:rPr>
                <w:sz w:val="24"/>
                <w:szCs w:val="24"/>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30.8%</w:t>
            </w: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28.6%</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5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(210) bps</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(600) bps</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Operating Income</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39.7</w:t>
            </w:r>
          </w:p>
        </w:tc>
        <w:tc>
          <w:tcPr>
            <w:tcW w:w="6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16.7</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-50.7%</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-62.4%</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-49.3%</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-62.6%</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Operating Margin (% of sales)</w:t>
            </w:r>
          </w:p>
        </w:tc>
        <w:tc>
          <w:tcPr>
            <w:tcW w:w="520" w:type="dxa"/>
            <w:vAlign w:val="bottom"/>
          </w:tcPr>
          <w:p>
            <w:pPr>
              <w:spacing w:after="0"/>
              <w:rPr>
                <w:sz w:val="24"/>
                <w:szCs w:val="24"/>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6.2%</w:t>
            </w: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6.4%</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5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(700) bps</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(930) bps</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Adjusted Operating Income *</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50.6</w:t>
            </w:r>
          </w:p>
        </w:tc>
        <w:tc>
          <w:tcPr>
            <w:tcW w:w="6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26.4</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-24.7%</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-41.6%</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on constant currency</w:t>
            </w:r>
          </w:p>
        </w:tc>
        <w:tc>
          <w:tcPr>
            <w:tcW w:w="520" w:type="dxa"/>
            <w:vAlign w:val="bottom"/>
          </w:tcPr>
          <w:p>
            <w:pPr>
              <w:spacing w:after="0"/>
              <w:rPr>
                <w:sz w:val="21"/>
                <w:szCs w:val="21"/>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-23.2%</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-41.8%</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Adj. Oper. Margin (% of sales)*</w:t>
            </w:r>
          </w:p>
        </w:tc>
        <w:tc>
          <w:tcPr>
            <w:tcW w:w="520" w:type="dxa"/>
            <w:vAlign w:val="bottom"/>
          </w:tcPr>
          <w:p>
            <w:pPr>
              <w:spacing w:after="0"/>
              <w:rPr>
                <w:sz w:val="24"/>
                <w:szCs w:val="24"/>
                <w:color w:val="auto"/>
              </w:rPr>
            </w:pPr>
          </w:p>
        </w:tc>
        <w:tc>
          <w:tcPr>
            <w:tcW w:w="1340" w:type="dxa"/>
            <w:vAlign w:val="bottom"/>
          </w:tcPr>
          <w:p>
            <w:pPr>
              <w:jc w:val="right"/>
              <w:ind w:right="90"/>
              <w:spacing w:after="0"/>
              <w:rPr>
                <w:sz w:val="20"/>
                <w:szCs w:val="20"/>
                <w:color w:val="auto"/>
              </w:rPr>
            </w:pPr>
            <w:r>
              <w:rPr>
                <w:rFonts w:ascii="Arial" w:cs="Arial" w:eastAsia="Arial" w:hAnsi="Arial"/>
                <w:sz w:val="18"/>
                <w:szCs w:val="18"/>
                <w:color w:val="auto"/>
              </w:rPr>
              <w:t>8.0%</w:t>
            </w: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60" w:type="dxa"/>
            <w:vAlign w:val="bottom"/>
          </w:tcPr>
          <w:p>
            <w:pPr>
              <w:jc w:val="right"/>
              <w:ind w:right="110"/>
              <w:spacing w:after="0"/>
              <w:rPr>
                <w:sz w:val="20"/>
                <w:szCs w:val="20"/>
                <w:color w:val="auto"/>
              </w:rPr>
            </w:pPr>
            <w:r>
              <w:rPr>
                <w:rFonts w:ascii="Arial" w:cs="Arial" w:eastAsia="Arial" w:hAnsi="Arial"/>
                <w:sz w:val="18"/>
                <w:szCs w:val="18"/>
                <w:color w:val="auto"/>
              </w:rPr>
              <w:t>10.1%</w:t>
            </w:r>
          </w:p>
        </w:tc>
      </w:tr>
      <w:tr>
        <w:trPr>
          <w:trHeight w:val="243"/>
        </w:trPr>
        <w:tc>
          <w:tcPr>
            <w:tcW w:w="5120" w:type="dxa"/>
            <w:vAlign w:val="bottom"/>
          </w:tcPr>
          <w:p>
            <w:pPr>
              <w:ind w:left="140"/>
              <w:spacing w:after="0"/>
              <w:rPr>
                <w:sz w:val="20"/>
                <w:szCs w:val="20"/>
                <w:color w:val="auto"/>
              </w:rPr>
            </w:pPr>
            <w:r>
              <w:rPr>
                <w:rFonts w:ascii="Arial" w:cs="Arial" w:eastAsia="Arial" w:hAnsi="Arial"/>
                <w:sz w:val="18"/>
                <w:szCs w:val="18"/>
                <w:color w:val="auto"/>
              </w:rPr>
              <w:t>- vs. prior year (in basis points)</w:t>
            </w:r>
          </w:p>
        </w:tc>
        <w:tc>
          <w:tcPr>
            <w:tcW w:w="5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(300) bps</w:t>
            </w:r>
          </w:p>
        </w:tc>
        <w:tc>
          <w:tcPr>
            <w:tcW w:w="1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(590) bps</w:t>
            </w:r>
          </w:p>
        </w:tc>
      </w:tr>
      <w:tr>
        <w:trPr>
          <w:trHeight w:val="486"/>
        </w:trPr>
        <w:tc>
          <w:tcPr>
            <w:tcW w:w="5120" w:type="dxa"/>
            <w:vAlign w:val="bottom"/>
          </w:tcPr>
          <w:p>
            <w:pPr>
              <w:spacing w:after="0"/>
              <w:rPr>
                <w:sz w:val="20"/>
                <w:szCs w:val="20"/>
                <w:color w:val="auto"/>
              </w:rPr>
            </w:pPr>
            <w:r>
              <w:rPr>
                <w:rFonts w:ascii="Arial" w:cs="Arial" w:eastAsia="Arial" w:hAnsi="Arial"/>
                <w:sz w:val="18"/>
                <w:szCs w:val="18"/>
                <w:color w:val="auto"/>
              </w:rPr>
              <w:t>Backlog</w:t>
            </w:r>
          </w:p>
        </w:tc>
        <w:tc>
          <w:tcPr>
            <w:tcW w:w="52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230"/>
              <w:spacing w:after="0"/>
              <w:rPr>
                <w:sz w:val="20"/>
                <w:szCs w:val="20"/>
                <w:color w:val="auto"/>
              </w:rPr>
            </w:pPr>
            <w:r>
              <w:rPr>
                <w:rFonts w:ascii="Arial" w:cs="Arial" w:eastAsia="Arial" w:hAnsi="Arial"/>
                <w:sz w:val="18"/>
                <w:szCs w:val="18"/>
                <w:color w:val="auto"/>
              </w:rPr>
              <w:t>1,560.6</w:t>
            </w:r>
          </w:p>
        </w:tc>
        <w:tc>
          <w:tcPr>
            <w:tcW w:w="6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270"/>
              <w:spacing w:after="0"/>
              <w:rPr>
                <w:sz w:val="20"/>
                <w:szCs w:val="20"/>
                <w:color w:val="auto"/>
              </w:rPr>
            </w:pPr>
            <w:r>
              <w:rPr>
                <w:rFonts w:ascii="Arial" w:cs="Arial" w:eastAsia="Arial" w:hAnsi="Arial"/>
                <w:sz w:val="18"/>
                <w:szCs w:val="18"/>
                <w:color w:val="auto"/>
              </w:rPr>
              <w:t>626.0</w:t>
            </w:r>
          </w:p>
        </w:tc>
      </w:tr>
    </w:tbl>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16"/>
          <w:szCs w:val="16"/>
          <w:color w:val="auto"/>
        </w:rPr>
        <w:t>* Adjusted Operating Income and Adjusted Operating Margin exclude realignment charges and other specific discrete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149225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1440" w:right="1440" w:bottom="1440" w:gutter="0" w:footer="0" w:header="0"/>
        </w:sectPr>
      </w:pPr>
    </w:p>
    <w:bookmarkStart w:id="11" w:name="page12"/>
    <w:bookmarkEnd w:id="11"/>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60" w:type="dxa"/>
            <w:vAlign w:val="bottom"/>
          </w:tcPr>
          <w:p>
            <w:pPr>
              <w:spacing w:after="0"/>
              <w:rPr>
                <w:sz w:val="20"/>
                <w:szCs w:val="20"/>
                <w:color w:val="auto"/>
              </w:rPr>
            </w:pPr>
            <w:r>
              <w:rPr>
                <w:rFonts w:ascii="Arial" w:cs="Arial" w:eastAsia="Arial" w:hAnsi="Arial"/>
                <w:sz w:val="18"/>
                <w:szCs w:val="18"/>
                <w:b w:val="1"/>
                <w:bCs w:val="1"/>
                <w:color w:val="auto"/>
              </w:rPr>
              <w:t>CONDENSED CONSOLIDATED BALANCE SHEETS</w:t>
            </w:r>
          </w:p>
        </w:tc>
        <w:tc>
          <w:tcPr>
            <w:tcW w:w="2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tcPr>
          <w:p>
            <w:pPr>
              <w:jc w:val="right"/>
              <w:ind w:right="250"/>
              <w:spacing w:after="0"/>
              <w:rPr>
                <w:sz w:val="20"/>
                <w:szCs w:val="20"/>
                <w:color w:val="auto"/>
              </w:rPr>
            </w:pPr>
            <w:r>
              <w:rPr>
                <w:rFonts w:ascii="Arial" w:cs="Arial" w:eastAsia="Arial" w:hAnsi="Arial"/>
                <w:sz w:val="18"/>
                <w:szCs w:val="18"/>
                <w:b w:val="1"/>
                <w:bCs w:val="1"/>
                <w:color w:val="auto"/>
              </w:rPr>
              <w:t>March 31,</w:t>
            </w:r>
          </w:p>
        </w:tc>
        <w:tc>
          <w:tcPr>
            <w:tcW w:w="80" w:type="dxa"/>
            <w:vAlign w:val="bottom"/>
          </w:tcPr>
          <w:p>
            <w:pPr>
              <w:spacing w:after="0"/>
              <w:rPr>
                <w:sz w:val="21"/>
                <w:szCs w:val="21"/>
                <w:color w:val="auto"/>
              </w:rPr>
            </w:pPr>
          </w:p>
        </w:tc>
        <w:tc>
          <w:tcPr>
            <w:tcW w:w="128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w w:val="95"/>
              </w:rPr>
              <w:t>December 31,</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(Amounts in thousands, except par value)</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66"/>
        </w:trPr>
        <w:tc>
          <w:tcPr>
            <w:tcW w:w="776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Current assets:</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Cash and cash equivalents</w:t>
            </w:r>
          </w:p>
        </w:tc>
        <w:tc>
          <w:tcPr>
            <w:tcW w:w="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622,299</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670,980</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w w:val="92"/>
              </w:rPr>
              <w:t>Accounts receivable, net of allowance for expected credit losses of $66,252 and $53,412, respectively</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732,879</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795,538</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Contract assets, net of allowance for expected credit losses of $2,681 at March 31, 2020</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275,927</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272,914</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Inventories, net</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684,113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660,837</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Prepaid expenses and other</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110,296</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105,101</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ind w:left="480"/>
              <w:spacing w:after="0"/>
              <w:rPr>
                <w:sz w:val="20"/>
                <w:szCs w:val="20"/>
                <w:color w:val="auto"/>
              </w:rPr>
            </w:pPr>
            <w:r>
              <w:rPr>
                <w:rFonts w:ascii="Arial" w:cs="Arial" w:eastAsia="Arial" w:hAnsi="Arial"/>
                <w:sz w:val="18"/>
                <w:szCs w:val="18"/>
                <w:color w:val="auto"/>
              </w:rPr>
              <w:t>Total current assets</w:t>
            </w:r>
          </w:p>
        </w:tc>
        <w:tc>
          <w:tcPr>
            <w:tcW w:w="2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2,425,514</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2,505,370</w:t>
            </w:r>
          </w:p>
        </w:tc>
        <w:tc>
          <w:tcPr>
            <w:tcW w:w="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7760" w:type="dxa"/>
            <w:vAlign w:val="bottom"/>
          </w:tcPr>
          <w:p>
            <w:pPr>
              <w:spacing w:after="0"/>
              <w:rPr>
                <w:sz w:val="20"/>
                <w:szCs w:val="20"/>
                <w:color w:val="auto"/>
              </w:rPr>
            </w:pPr>
            <w:r>
              <w:rPr>
                <w:rFonts w:ascii="Arial" w:cs="Arial" w:eastAsia="Arial" w:hAnsi="Arial"/>
                <w:sz w:val="18"/>
                <w:szCs w:val="18"/>
                <w:color w:val="auto"/>
                <w:w w:val="90"/>
              </w:rPr>
              <w:t>Property, plant and equipment, net of accumulated depreciation of $1,007,261 and $1,013,207, respectively</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550,853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572,175</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Operating lease right-of-use assets, net</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182,464</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186,218</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Goodwill</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1,180,264</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1,193,010</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Deferred taxes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31,517</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54,879</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Other intangible assets, net</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174,538</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180,805</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Other assets, net of allowance for expected credit losses of $100,887 and $101,439, respectively</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216,924</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227,185</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7760" w:type="dxa"/>
            <w:vAlign w:val="bottom"/>
          </w:tcPr>
          <w:p>
            <w:pPr>
              <w:spacing w:after="0"/>
              <w:rPr>
                <w:sz w:val="20"/>
                <w:szCs w:val="20"/>
                <w:color w:val="auto"/>
              </w:rPr>
            </w:pPr>
            <w:r>
              <w:rPr>
                <w:rFonts w:ascii="Arial" w:cs="Arial" w:eastAsia="Arial" w:hAnsi="Arial"/>
                <w:sz w:val="18"/>
                <w:szCs w:val="18"/>
                <w:color w:val="auto"/>
              </w:rPr>
              <w:t>Total assets</w:t>
            </w:r>
          </w:p>
        </w:tc>
        <w:tc>
          <w:tcPr>
            <w:tcW w:w="2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4,762,074</w:t>
            </w:r>
          </w:p>
        </w:tc>
        <w:tc>
          <w:tcPr>
            <w:tcW w:w="80" w:type="dxa"/>
            <w:vAlign w:val="bottom"/>
          </w:tcPr>
          <w:p>
            <w:pPr>
              <w:spacing w:after="0"/>
              <w:rPr>
                <w:sz w:val="20"/>
                <w:szCs w:val="20"/>
                <w:color w:val="auto"/>
              </w:rPr>
            </w:pPr>
          </w:p>
        </w:tc>
        <w:tc>
          <w:tcPr>
            <w:tcW w:w="2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4,919,642</w:t>
            </w:r>
          </w:p>
        </w:tc>
        <w:tc>
          <w:tcPr>
            <w:tcW w:w="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76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776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Current liabilities:</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425,795</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447,582</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Accrued liabilities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410,783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401,385</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Contract liabilities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223,632</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216,541</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Debt due within one year</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8,980</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11,272</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Operating lease liabilities</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36,841</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36,108</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ind w:left="480"/>
              <w:spacing w:after="0"/>
              <w:rPr>
                <w:sz w:val="20"/>
                <w:szCs w:val="20"/>
                <w:color w:val="auto"/>
              </w:rPr>
            </w:pPr>
            <w:r>
              <w:rPr>
                <w:rFonts w:ascii="Arial" w:cs="Arial" w:eastAsia="Arial" w:hAnsi="Arial"/>
                <w:sz w:val="18"/>
                <w:szCs w:val="18"/>
                <w:color w:val="auto"/>
              </w:rPr>
              <w:t>Total current liabilities</w:t>
            </w:r>
          </w:p>
        </w:tc>
        <w:tc>
          <w:tcPr>
            <w:tcW w:w="2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1,106,031</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1,112,888</w:t>
            </w:r>
          </w:p>
        </w:tc>
        <w:tc>
          <w:tcPr>
            <w:tcW w:w="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7760" w:type="dxa"/>
            <w:vAlign w:val="bottom"/>
          </w:tcPr>
          <w:p>
            <w:pPr>
              <w:spacing w:after="0"/>
              <w:rPr>
                <w:sz w:val="20"/>
                <w:szCs w:val="20"/>
                <w:color w:val="auto"/>
              </w:rPr>
            </w:pPr>
            <w:r>
              <w:rPr>
                <w:rFonts w:ascii="Arial" w:cs="Arial" w:eastAsia="Arial" w:hAnsi="Arial"/>
                <w:sz w:val="18"/>
                <w:szCs w:val="18"/>
                <w:color w:val="auto"/>
              </w:rPr>
              <w:t>Long-term debt due after one year</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1,357,108</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1,365,977</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Operating lease liabilities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147,031</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151,523</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Retirement obligations and other liabilities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466,479</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473,295</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Shareholders’ equity:</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Common shares, $1.25 par value</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220,991</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220,991</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340"/>
              <w:spacing w:after="0"/>
              <w:rPr>
                <w:sz w:val="20"/>
                <w:szCs w:val="20"/>
                <w:color w:val="auto"/>
              </w:rPr>
            </w:pPr>
            <w:r>
              <w:rPr>
                <w:rFonts w:ascii="Arial" w:cs="Arial" w:eastAsia="Arial" w:hAnsi="Arial"/>
                <w:sz w:val="18"/>
                <w:szCs w:val="18"/>
                <w:color w:val="auto"/>
              </w:rPr>
              <w:t>Shares authorized – 305,000</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340"/>
              <w:spacing w:after="0"/>
              <w:rPr>
                <w:sz w:val="20"/>
                <w:szCs w:val="20"/>
                <w:color w:val="auto"/>
              </w:rPr>
            </w:pPr>
            <w:r>
              <w:rPr>
                <w:rFonts w:ascii="Arial" w:cs="Arial" w:eastAsia="Arial" w:hAnsi="Arial"/>
                <w:sz w:val="18"/>
                <w:szCs w:val="18"/>
                <w:color w:val="auto"/>
              </w:rPr>
              <w:t>Shares issued – 176,793</w:t>
            </w: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Capital in excess of par value</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497,721</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501,045</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Retained earnings</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3,661,579</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3,695,862</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Treasury shares, at cost – 47,002 and 46,262 shares, respectively</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(2,069,063)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(2,051,583)</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Deferred compensation obligation</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8,324</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8,334</w:t>
            </w:r>
          </w:p>
        </w:tc>
        <w:tc>
          <w:tcPr>
            <w:tcW w:w="6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Accumulated other comprehensive loss</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(660,122)</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(584,292)</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spacing w:after="0"/>
              <w:rPr>
                <w:sz w:val="20"/>
                <w:szCs w:val="20"/>
                <w:color w:val="auto"/>
              </w:rPr>
            </w:pPr>
            <w:r>
              <w:rPr>
                <w:rFonts w:ascii="Arial" w:cs="Arial" w:eastAsia="Arial" w:hAnsi="Arial"/>
                <w:sz w:val="18"/>
                <w:szCs w:val="18"/>
                <w:color w:val="auto"/>
              </w:rPr>
              <w:t>Total Flowserve Corporation shareholders' equity</w:t>
            </w:r>
          </w:p>
        </w:tc>
        <w:tc>
          <w:tcPr>
            <w:tcW w:w="2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1,659,430</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1,790,357</w:t>
            </w:r>
          </w:p>
        </w:tc>
        <w:tc>
          <w:tcPr>
            <w:tcW w:w="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25,995</w:t>
            </w:r>
          </w:p>
        </w:tc>
        <w:tc>
          <w:tcPr>
            <w:tcW w:w="8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25,602</w:t>
            </w: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7760" w:type="dxa"/>
            <w:vAlign w:val="bottom"/>
          </w:tcPr>
          <w:p>
            <w:pPr>
              <w:ind w:left="220"/>
              <w:spacing w:after="0"/>
              <w:rPr>
                <w:sz w:val="20"/>
                <w:szCs w:val="20"/>
                <w:color w:val="auto"/>
              </w:rPr>
            </w:pPr>
            <w:r>
              <w:rPr>
                <w:rFonts w:ascii="Arial" w:cs="Arial" w:eastAsia="Arial" w:hAnsi="Arial"/>
                <w:sz w:val="18"/>
                <w:szCs w:val="18"/>
                <w:color w:val="auto"/>
              </w:rPr>
              <w:t>Total equity</w:t>
            </w:r>
          </w:p>
        </w:tc>
        <w:tc>
          <w:tcPr>
            <w:tcW w:w="24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1,685,425</w:t>
            </w:r>
          </w:p>
        </w:tc>
        <w:tc>
          <w:tcPr>
            <w:tcW w:w="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1,815,959</w:t>
            </w:r>
          </w:p>
        </w:tc>
        <w:tc>
          <w:tcPr>
            <w:tcW w:w="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7760" w:type="dxa"/>
            <w:vAlign w:val="bottom"/>
          </w:tcPr>
          <w:p>
            <w:pPr>
              <w:spacing w:after="0"/>
              <w:rPr>
                <w:sz w:val="20"/>
                <w:szCs w:val="20"/>
                <w:color w:val="auto"/>
              </w:rPr>
            </w:pPr>
            <w:r>
              <w:rPr>
                <w:rFonts w:ascii="Arial" w:cs="Arial" w:eastAsia="Arial" w:hAnsi="Arial"/>
                <w:sz w:val="18"/>
                <w:szCs w:val="18"/>
                <w:color w:val="auto"/>
              </w:rPr>
              <w:t>Total liabilities and equity</w:t>
            </w:r>
          </w:p>
        </w:tc>
        <w:tc>
          <w:tcPr>
            <w:tcW w:w="2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4,762,074</w:t>
            </w:r>
          </w:p>
        </w:tc>
        <w:tc>
          <w:tcPr>
            <w:tcW w:w="80" w:type="dxa"/>
            <w:vAlign w:val="bottom"/>
          </w:tcPr>
          <w:p>
            <w:pPr>
              <w:spacing w:after="0"/>
              <w:rPr>
                <w:sz w:val="20"/>
                <w:szCs w:val="20"/>
                <w:color w:val="auto"/>
              </w:rPr>
            </w:pPr>
          </w:p>
        </w:tc>
        <w:tc>
          <w:tcPr>
            <w:tcW w:w="2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4,919,642</w:t>
            </w:r>
          </w:p>
        </w:tc>
        <w:tc>
          <w:tcPr>
            <w:tcW w:w="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7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7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440" w:right="339" w:bottom="1440" w:gutter="0" w:footer="0" w:header="0"/>
        </w:sectPr>
      </w:pPr>
    </w:p>
    <w:bookmarkStart w:id="12" w:name="page13"/>
    <w:bookmarkEnd w:id="12"/>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4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CASH FLOWS</w:t>
            </w:r>
          </w:p>
        </w:tc>
        <w:tc>
          <w:tcPr>
            <w:tcW w:w="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243"/>
        </w:trPr>
        <w:tc>
          <w:tcPr>
            <w:tcW w:w="614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50"/>
        </w:trPr>
        <w:tc>
          <w:tcPr>
            <w:tcW w:w="6140" w:type="dxa"/>
            <w:vAlign w:val="bottom"/>
          </w:tcPr>
          <w:p>
            <w:pPr>
              <w:spacing w:after="0"/>
              <w:rPr>
                <w:sz w:val="21"/>
                <w:szCs w:val="21"/>
                <w:color w:val="auto"/>
              </w:rPr>
            </w:pPr>
          </w:p>
        </w:tc>
        <w:tc>
          <w:tcPr>
            <w:tcW w:w="2720" w:type="dxa"/>
            <w:vAlign w:val="bottom"/>
            <w:tcBorders>
              <w:bottom w:val="single" w:sz="8" w:color="auto"/>
            </w:tcBorders>
            <w:gridSpan w:val="5"/>
          </w:tcPr>
          <w:p>
            <w:pPr>
              <w:jc w:val="right"/>
              <w:ind w:right="50"/>
              <w:spacing w:after="0"/>
              <w:rPr>
                <w:sz w:val="20"/>
                <w:szCs w:val="20"/>
                <w:color w:val="auto"/>
              </w:rPr>
            </w:pPr>
            <w:r>
              <w:rPr>
                <w:rFonts w:ascii="Arial" w:cs="Arial" w:eastAsia="Arial" w:hAnsi="Arial"/>
                <w:sz w:val="18"/>
                <w:szCs w:val="18"/>
                <w:b w:val="1"/>
                <w:bCs w:val="1"/>
                <w:color w:val="auto"/>
                <w:w w:val="96"/>
              </w:rPr>
              <w:t>Three Months Ended March 31,</w:t>
            </w:r>
          </w:p>
        </w:tc>
      </w:tr>
      <w:tr>
        <w:trPr>
          <w:trHeight w:val="243"/>
        </w:trPr>
        <w:tc>
          <w:tcPr>
            <w:tcW w:w="6140" w:type="dxa"/>
            <w:vAlign w:val="bottom"/>
          </w:tcPr>
          <w:p>
            <w:pPr>
              <w:spacing w:after="0"/>
              <w:rPr>
                <w:sz w:val="20"/>
                <w:szCs w:val="20"/>
                <w:color w:val="auto"/>
              </w:rPr>
            </w:pPr>
            <w:r>
              <w:rPr>
                <w:rFonts w:ascii="Arial" w:cs="Arial" w:eastAsia="Arial" w:hAnsi="Arial"/>
                <w:sz w:val="18"/>
                <w:szCs w:val="18"/>
                <w:color w:val="auto"/>
              </w:rPr>
              <w:t>(Amounts in thousands)</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2020</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2019</w:t>
            </w:r>
          </w:p>
        </w:tc>
      </w:tr>
      <w:tr>
        <w:trPr>
          <w:trHeight w:val="466"/>
        </w:trPr>
        <w:tc>
          <w:tcPr>
            <w:tcW w:w="6140" w:type="dxa"/>
            <w:vAlign w:val="bottom"/>
          </w:tcPr>
          <w:p>
            <w:pPr>
              <w:spacing w:after="0"/>
              <w:rPr>
                <w:sz w:val="20"/>
                <w:szCs w:val="20"/>
                <w:color w:val="auto"/>
              </w:rPr>
            </w:pPr>
            <w:r>
              <w:rPr>
                <w:rFonts w:ascii="Arial" w:cs="Arial" w:eastAsia="Arial" w:hAnsi="Arial"/>
                <w:sz w:val="18"/>
                <w:szCs w:val="18"/>
                <w:b w:val="1"/>
                <w:bCs w:val="1"/>
                <w:color w:val="auto"/>
              </w:rPr>
              <w:t>Cash flows – Operating activities:</w:t>
            </w: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Net earnings, including noncontrolling interests</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1,490</w:t>
            </w:r>
          </w:p>
        </w:tc>
        <w:tc>
          <w:tcPr>
            <w:tcW w:w="3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59,496</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w w:val="90"/>
              </w:rPr>
              <w:t>Adjustments to reconcile net earnings to net cash provided by operating activities:</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43"/>
        </w:trPr>
        <w:tc>
          <w:tcPr>
            <w:tcW w:w="6140" w:type="dxa"/>
            <w:vAlign w:val="bottom"/>
          </w:tcPr>
          <w:p>
            <w:pPr>
              <w:ind w:left="420"/>
              <w:spacing w:after="0"/>
              <w:rPr>
                <w:sz w:val="20"/>
                <w:szCs w:val="20"/>
                <w:color w:val="auto"/>
              </w:rPr>
            </w:pPr>
            <w:r>
              <w:rPr>
                <w:rFonts w:ascii="Arial" w:cs="Arial" w:eastAsia="Arial" w:hAnsi="Arial"/>
                <w:sz w:val="18"/>
                <w:szCs w:val="18"/>
                <w:color w:val="auto"/>
              </w:rPr>
              <w:t>Depreciation</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22,166</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23,361</w:t>
            </w:r>
          </w:p>
        </w:tc>
      </w:tr>
      <w:tr>
        <w:trPr>
          <w:trHeight w:val="243"/>
        </w:trPr>
        <w:tc>
          <w:tcPr>
            <w:tcW w:w="6140" w:type="dxa"/>
            <w:vAlign w:val="bottom"/>
          </w:tcPr>
          <w:p>
            <w:pPr>
              <w:ind w:left="420"/>
              <w:spacing w:after="0"/>
              <w:rPr>
                <w:sz w:val="20"/>
                <w:szCs w:val="20"/>
                <w:color w:val="auto"/>
              </w:rPr>
            </w:pPr>
            <w:r>
              <w:rPr>
                <w:rFonts w:ascii="Arial" w:cs="Arial" w:eastAsia="Arial" w:hAnsi="Arial"/>
                <w:sz w:val="18"/>
                <w:szCs w:val="18"/>
                <w:color w:val="auto"/>
              </w:rPr>
              <w:t>Amortization of intangible and other assets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3,121</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4,105</w:t>
            </w:r>
          </w:p>
        </w:tc>
      </w:tr>
      <w:tr>
        <w:trPr>
          <w:trHeight w:val="243"/>
        </w:trPr>
        <w:tc>
          <w:tcPr>
            <w:tcW w:w="614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14,311</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7,609</w:t>
            </w:r>
          </w:p>
        </w:tc>
      </w:tr>
      <w:tr>
        <w:trPr>
          <w:trHeight w:val="243"/>
        </w:trPr>
        <w:tc>
          <w:tcPr>
            <w:tcW w:w="6140" w:type="dxa"/>
            <w:vAlign w:val="bottom"/>
          </w:tcPr>
          <w:p>
            <w:pPr>
              <w:ind w:left="420"/>
              <w:spacing w:after="0"/>
              <w:rPr>
                <w:sz w:val="20"/>
                <w:szCs w:val="20"/>
                <w:color w:val="auto"/>
              </w:rPr>
            </w:pPr>
            <w:r>
              <w:rPr>
                <w:rFonts w:ascii="Arial" w:cs="Arial" w:eastAsia="Arial" w:hAnsi="Arial"/>
                <w:sz w:val="18"/>
                <w:szCs w:val="18"/>
                <w:color w:val="auto"/>
              </w:rPr>
              <w:t>Foreign currency, asset write downs and other non-cash adjustments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23,065</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(15,454)</w:t>
            </w:r>
          </w:p>
        </w:tc>
      </w:tr>
      <w:tr>
        <w:trPr>
          <w:trHeight w:val="243"/>
        </w:trPr>
        <w:tc>
          <w:tcPr>
            <w:tcW w:w="6140" w:type="dxa"/>
            <w:vAlign w:val="bottom"/>
          </w:tcPr>
          <w:p>
            <w:pPr>
              <w:ind w:left="420"/>
              <w:spacing w:after="0"/>
              <w:rPr>
                <w:sz w:val="20"/>
                <w:szCs w:val="20"/>
                <w:color w:val="auto"/>
              </w:rPr>
            </w:pPr>
            <w:r>
              <w:rPr>
                <w:rFonts w:ascii="Arial" w:cs="Arial" w:eastAsia="Arial" w:hAnsi="Arial"/>
                <w:sz w:val="18"/>
                <w:szCs w:val="18"/>
                <w:color w:val="auto"/>
              </w:rPr>
              <w:t>Change in assets and liabilities:</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Accounts receivable, net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19,137</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8,174</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Inventories, net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(43,226)</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(49,478)</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Contract assets, net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(14,462)</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1,631</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Prepaid expenses and other assets, net</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(2,493)</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(5,128)</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Accounts payable</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(7,873)</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(15,399)</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Contract liabilities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15,705</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5,567</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Accrued liabilities and income taxes payable</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12,204</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11,462</w:t>
            </w:r>
          </w:p>
        </w:tc>
      </w:tr>
      <w:tr>
        <w:trPr>
          <w:trHeight w:val="243"/>
        </w:trPr>
        <w:tc>
          <w:tcPr>
            <w:tcW w:w="6140" w:type="dxa"/>
            <w:vAlign w:val="bottom"/>
          </w:tcPr>
          <w:p>
            <w:pPr>
              <w:ind w:left="620"/>
              <w:spacing w:after="0"/>
              <w:rPr>
                <w:sz w:val="20"/>
                <w:szCs w:val="20"/>
                <w:color w:val="auto"/>
              </w:rPr>
            </w:pPr>
            <w:r>
              <w:rPr>
                <w:rFonts w:ascii="Arial" w:cs="Arial" w:eastAsia="Arial" w:hAnsi="Arial"/>
                <w:sz w:val="18"/>
                <w:szCs w:val="18"/>
                <w:color w:val="auto"/>
              </w:rPr>
              <w:t>Retirement obligations and other</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9,738</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(652)</w:t>
            </w:r>
          </w:p>
        </w:tc>
      </w:tr>
      <w:tr>
        <w:trPr>
          <w:trHeight w:val="250"/>
        </w:trPr>
        <w:tc>
          <w:tcPr>
            <w:tcW w:w="6140" w:type="dxa"/>
            <w:vAlign w:val="bottom"/>
          </w:tcPr>
          <w:p>
            <w:pPr>
              <w:ind w:left="620"/>
              <w:spacing w:after="0"/>
              <w:rPr>
                <w:sz w:val="20"/>
                <w:szCs w:val="20"/>
                <w:color w:val="auto"/>
              </w:rPr>
            </w:pPr>
            <w:r>
              <w:rPr>
                <w:rFonts w:ascii="Arial" w:cs="Arial" w:eastAsia="Arial" w:hAnsi="Arial"/>
                <w:sz w:val="18"/>
                <w:szCs w:val="18"/>
                <w:color w:val="auto"/>
              </w:rPr>
              <w:t>Net deferred taxes</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(5,581)</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3,225</w:t>
            </w:r>
          </w:p>
        </w:tc>
      </w:tr>
      <w:tr>
        <w:trPr>
          <w:trHeight w:val="243"/>
        </w:trPr>
        <w:tc>
          <w:tcPr>
            <w:tcW w:w="6140" w:type="dxa"/>
            <w:vAlign w:val="bottom"/>
          </w:tcPr>
          <w:p>
            <w:pPr>
              <w:spacing w:after="0"/>
              <w:rPr>
                <w:sz w:val="20"/>
                <w:szCs w:val="20"/>
                <w:color w:val="auto"/>
              </w:rPr>
            </w:pPr>
            <w:r>
              <w:rPr>
                <w:rFonts w:ascii="Arial" w:cs="Arial" w:eastAsia="Arial" w:hAnsi="Arial"/>
                <w:sz w:val="18"/>
                <w:szCs w:val="18"/>
                <w:color w:val="auto"/>
              </w:rPr>
              <w:t>Net cash flows provided (used) by operating activities</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47,302</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38,519</w:t>
            </w:r>
          </w:p>
        </w:tc>
      </w:tr>
      <w:tr>
        <w:trPr>
          <w:trHeight w:val="223"/>
        </w:trPr>
        <w:tc>
          <w:tcPr>
            <w:tcW w:w="6140" w:type="dxa"/>
            <w:vAlign w:val="bottom"/>
          </w:tcPr>
          <w:p>
            <w:pPr>
              <w:spacing w:after="0"/>
              <w:rPr>
                <w:sz w:val="20"/>
                <w:szCs w:val="20"/>
                <w:color w:val="auto"/>
              </w:rPr>
            </w:pPr>
            <w:r>
              <w:rPr>
                <w:rFonts w:ascii="Arial" w:cs="Arial" w:eastAsia="Arial" w:hAnsi="Arial"/>
                <w:sz w:val="18"/>
                <w:szCs w:val="18"/>
                <w:b w:val="1"/>
                <w:bCs w:val="1"/>
                <w:color w:val="auto"/>
              </w:rPr>
              <w:t>Cash flows – Investing activities:</w:t>
            </w: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Capital expenditures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(17,310)</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(10,638)</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Proceeds from disposal of assets and other</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10,737</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39,211</w:t>
            </w:r>
          </w:p>
        </w:tc>
      </w:tr>
      <w:tr>
        <w:trPr>
          <w:trHeight w:val="256"/>
        </w:trPr>
        <w:tc>
          <w:tcPr>
            <w:tcW w:w="6140" w:type="dxa"/>
            <w:vAlign w:val="bottom"/>
          </w:tcPr>
          <w:p>
            <w:pPr>
              <w:spacing w:after="0"/>
              <w:rPr>
                <w:sz w:val="20"/>
                <w:szCs w:val="20"/>
                <w:color w:val="auto"/>
              </w:rPr>
            </w:pPr>
            <w:r>
              <w:rPr>
                <w:rFonts w:ascii="Arial" w:cs="Arial" w:eastAsia="Arial" w:hAnsi="Arial"/>
                <w:sz w:val="18"/>
                <w:szCs w:val="18"/>
                <w:color w:val="auto"/>
              </w:rPr>
              <w:t>Net cash flows provided (used) by investing activities</w:t>
            </w: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(6,573)</w:t>
            </w:r>
          </w:p>
        </w:tc>
        <w:tc>
          <w:tcPr>
            <w:tcW w:w="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28,573</w:t>
            </w:r>
          </w:p>
        </w:tc>
      </w:tr>
      <w:tr>
        <w:trPr>
          <w:trHeight w:val="223"/>
        </w:trPr>
        <w:tc>
          <w:tcPr>
            <w:tcW w:w="6140" w:type="dxa"/>
            <w:vAlign w:val="bottom"/>
          </w:tcPr>
          <w:p>
            <w:pPr>
              <w:spacing w:after="0"/>
              <w:rPr>
                <w:sz w:val="20"/>
                <w:szCs w:val="20"/>
                <w:color w:val="auto"/>
              </w:rPr>
            </w:pPr>
            <w:r>
              <w:rPr>
                <w:rFonts w:ascii="Arial" w:cs="Arial" w:eastAsia="Arial" w:hAnsi="Arial"/>
                <w:sz w:val="18"/>
                <w:szCs w:val="18"/>
                <w:b w:val="1"/>
                <w:bCs w:val="1"/>
                <w:color w:val="auto"/>
              </w:rPr>
              <w:t>Cash flows – Financing activities:</w:t>
            </w: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Payments on long-term debt</w:t>
            </w:r>
          </w:p>
        </w:tc>
        <w:tc>
          <w:tcPr>
            <w:tcW w:w="30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(15,000)</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Proceeds under other financing arrangements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3,250</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1,660</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Payments under other financing arrangements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(3,356)</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(2,484)</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Repurchases of common shares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(32,112)</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Payments related to tax withholding for stock-based compensation</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(3,137)</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(2,861)</w:t>
            </w:r>
          </w:p>
        </w:tc>
      </w:tr>
      <w:tr>
        <w:trPr>
          <w:trHeight w:val="243"/>
        </w:trPr>
        <w:tc>
          <w:tcPr>
            <w:tcW w:w="6140" w:type="dxa"/>
            <w:vAlign w:val="bottom"/>
          </w:tcPr>
          <w:p>
            <w:pPr>
              <w:ind w:left="220"/>
              <w:spacing w:after="0"/>
              <w:rPr>
                <w:sz w:val="20"/>
                <w:szCs w:val="20"/>
                <w:color w:val="auto"/>
              </w:rPr>
            </w:pPr>
            <w:r>
              <w:rPr>
                <w:rFonts w:ascii="Arial" w:cs="Arial" w:eastAsia="Arial" w:hAnsi="Arial"/>
                <w:sz w:val="18"/>
                <w:szCs w:val="18"/>
                <w:color w:val="auto"/>
              </w:rPr>
              <w:t>Payments of dividends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(26,023)</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(24,909)</w:t>
            </w:r>
          </w:p>
        </w:tc>
      </w:tr>
      <w:tr>
        <w:trPr>
          <w:trHeight w:val="250"/>
        </w:trPr>
        <w:tc>
          <w:tcPr>
            <w:tcW w:w="6140" w:type="dxa"/>
            <w:vAlign w:val="bottom"/>
          </w:tcPr>
          <w:p>
            <w:pPr>
              <w:ind w:left="220"/>
              <w:spacing w:after="0"/>
              <w:rPr>
                <w:sz w:val="20"/>
                <w:szCs w:val="20"/>
                <w:color w:val="auto"/>
              </w:rPr>
            </w:pPr>
            <w:r>
              <w:rPr>
                <w:rFonts w:ascii="Arial" w:cs="Arial" w:eastAsia="Arial" w:hAnsi="Arial"/>
                <w:sz w:val="18"/>
                <w:szCs w:val="18"/>
                <w:color w:val="auto"/>
              </w:rPr>
              <w:t>Other</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(2,547)</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w:t>
            </w:r>
          </w:p>
        </w:tc>
      </w:tr>
      <w:tr>
        <w:trPr>
          <w:trHeight w:val="230"/>
        </w:trPr>
        <w:tc>
          <w:tcPr>
            <w:tcW w:w="6140" w:type="dxa"/>
            <w:vAlign w:val="bottom"/>
          </w:tcPr>
          <w:p>
            <w:pPr>
              <w:spacing w:after="0"/>
              <w:rPr>
                <w:sz w:val="20"/>
                <w:szCs w:val="20"/>
                <w:color w:val="auto"/>
              </w:rPr>
            </w:pPr>
            <w:r>
              <w:rPr>
                <w:rFonts w:ascii="Arial" w:cs="Arial" w:eastAsia="Arial" w:hAnsi="Arial"/>
                <w:sz w:val="18"/>
                <w:szCs w:val="18"/>
                <w:color w:val="auto"/>
              </w:rPr>
              <w:t>Net cash flows provided (used) by financing activities</w:t>
            </w: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(63,925)</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(43,786)</w:t>
            </w:r>
          </w:p>
        </w:tc>
      </w:tr>
      <w:tr>
        <w:trPr>
          <w:trHeight w:val="249"/>
        </w:trPr>
        <w:tc>
          <w:tcPr>
            <w:tcW w:w="614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(25,485)</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(5,279)</w:t>
            </w:r>
          </w:p>
        </w:tc>
      </w:tr>
      <w:tr>
        <w:trPr>
          <w:trHeight w:val="230"/>
        </w:trPr>
        <w:tc>
          <w:tcPr>
            <w:tcW w:w="614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(48,681)</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18,027</w:t>
            </w:r>
          </w:p>
        </w:tc>
      </w:tr>
      <w:tr>
        <w:trPr>
          <w:trHeight w:val="249"/>
        </w:trPr>
        <w:tc>
          <w:tcPr>
            <w:tcW w:w="61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670,980</w:t>
            </w:r>
          </w:p>
        </w:tc>
        <w:tc>
          <w:tcPr>
            <w:tcW w:w="6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619,683</w:t>
            </w:r>
          </w:p>
        </w:tc>
      </w:tr>
      <w:tr>
        <w:trPr>
          <w:trHeight w:val="243"/>
        </w:trPr>
        <w:tc>
          <w:tcPr>
            <w:tcW w:w="614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622,299</w:t>
            </w:r>
          </w:p>
        </w:tc>
        <w:tc>
          <w:tcPr>
            <w:tcW w:w="60" w:type="dxa"/>
            <w:vAlign w:val="bottom"/>
          </w:tcPr>
          <w:p>
            <w:pPr>
              <w:spacing w:after="0"/>
              <w:rPr>
                <w:sz w:val="21"/>
                <w:szCs w:val="21"/>
                <w:color w:val="auto"/>
              </w:rPr>
            </w:pPr>
          </w:p>
        </w:tc>
        <w:tc>
          <w:tcPr>
            <w:tcW w:w="3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637,710</w:t>
            </w:r>
          </w:p>
        </w:tc>
      </w:tr>
      <w:tr>
        <w:trPr>
          <w:trHeight w:val="20"/>
        </w:trPr>
        <w:tc>
          <w:tcPr>
            <w:tcW w:w="61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Contacts:</w:t>
      </w:r>
    </w:p>
    <w:p>
      <w:pPr>
        <w:spacing w:after="0" w:line="8" w:lineRule="exact"/>
        <w:rPr>
          <w:sz w:val="20"/>
          <w:szCs w:val="20"/>
          <w:color w:val="auto"/>
        </w:rPr>
      </w:pPr>
    </w:p>
    <w:p>
      <w:pPr>
        <w:ind w:right="3479"/>
        <w:spacing w:after="0" w:line="236"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443-6636</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&amp; Marketing Communications (972) 443-6644</w:t>
      </w:r>
    </w:p>
    <w:sectPr>
      <w:pgSz w:w="11900" w:h="16838" w:orient="portrait"/>
      <w:cols w:equalWidth="0" w:num="1">
        <w:col w:w="10139"/>
      </w:cols>
      <w:pgMar w:left="32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lowerLetter"/>
      <w:start w:val="4"/>
    </w:lvl>
  </w:abstractNum>
  <w:abstractNum w:abstractNumId="2">
    <w:nsid w:val="238E1F29"/>
    <w:multiLevelType w:val="hybridMultilevel"/>
    <w:lvl w:ilvl="0">
      <w:lvlJc w:val="left"/>
      <w:lvlText w:val="[%1]"/>
      <w:numFmt w:val="decimal"/>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2020-05-07T15:21:03Z</dcterms:created>
  <dcterms:modified xsi:type="dcterms:W3CDTF">2020-05-07T15:21:03Z</dcterms:modified>
</cp:coreProperties>
</file>