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5304155</wp:posOffset>
            </wp:positionH>
            <wp:positionV relativeFrom="paragraph">
              <wp:posOffset>-604520</wp:posOffset>
            </wp:positionV>
            <wp:extent cx="8255" cy="605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3995420</wp:posOffset>
            </wp:positionH>
            <wp:positionV relativeFrom="paragraph">
              <wp:posOffset>-612775</wp:posOffset>
            </wp:positionV>
            <wp:extent cx="8255" cy="6134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-588010</wp:posOffset>
            </wp:positionV>
            <wp:extent cx="1267460" cy="564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27940</wp:posOffset>
            </wp:positionV>
            <wp:extent cx="6968490" cy="17418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Wilson Kirk</w:t>
        </w:r>
      </w:hyperlink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5,215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FLOWSERVE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FLS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03/25/2020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" w:right="640" w:hanging="9"/>
        <w:spacing w:after="0" w:line="237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8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0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FCD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1" w:space="720"/>
            <w:col w:w="3349"/>
          </w:cols>
          <w:pgMar w:left="460" w:top="221" w:right="359" w:bottom="1440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NORTH O'CONNOR BLVD #2300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gridSpan w:val="7"/>
          </w:tcPr>
          <w:p>
            <w:pPr>
              <w:jc w:val="center"/>
              <w:ind w:right="77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11"/>
          </w:tcPr>
          <w:p>
            <w:pPr>
              <w:ind w:left="2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9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11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IRVING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TX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75039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8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  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03/25/2020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1,651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38,679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03/25/2020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403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38,276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40" w:type="dxa"/>
            <w:vAlign w:val="bottom"/>
            <w:gridSpan w:val="10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Performance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03/25/2020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6,070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6,070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26,000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Rights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-3254375</wp:posOffset>
            </wp:positionV>
            <wp:extent cx="7033895" cy="32962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160" w:firstLine="2"/>
        <w:spacing w:after="0" w:line="28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Each performance right represented a contingent right to receive one share of the issuer's common stock at vesting. The performance rights vested at a rate of 25.8% (plus dividends accrued on the underlying shares) based on two factors during a three-year performance cycle beginning on January 1, 2017 and ending on December 31, 2019, which are: 1) the issuer's relative total share holder return ("TSR") in comparison to the TSR averages of a predetermined peer group over the performance cycle; and 2) the issuer's return on invested capital measured against the issuer's performance relative to its weighted average cost of capital and relative to a predetermined peer group over the performance cycle. The performance rights may be settled, at the issuer's discretion, in cash or shares of common stock.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Akshar C. Patel, attorney-in-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03/27/2020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2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54776" TargetMode="External"/><Relationship Id="rId14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2020-03-27T15:22:51Z</dcterms:created>
  <dcterms:modified xsi:type="dcterms:W3CDTF">2020-03-27T15:22:51Z</dcterms:modified>
</cp:coreProperties>
</file>