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38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-241935</wp:posOffset>
            </wp:positionV>
            <wp:extent cx="135890" cy="135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60" w:type="dxa"/>
            <w:vAlign w:val="bottom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9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5482590</wp:posOffset>
            </wp:positionH>
            <wp:positionV relativeFrom="paragraph">
              <wp:posOffset>-650240</wp:posOffset>
            </wp:positionV>
            <wp:extent cx="59690" cy="663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4146550</wp:posOffset>
            </wp:positionH>
            <wp:positionV relativeFrom="paragraph">
              <wp:posOffset>-650240</wp:posOffset>
            </wp:positionV>
            <wp:extent cx="59690" cy="663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5129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12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89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89"/>
                </w:rPr>
                <w:t>Lenander John</w:t>
              </w:r>
            </w:hyperlink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80" w:type="dxa"/>
            <w:vAlign w:val="bottom"/>
            <w:gridSpan w:val="4"/>
          </w:tcPr>
          <w:p>
            <w:pPr>
              <w:ind w:left="60"/>
              <w:spacing w:after="0" w:line="188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FLOWSERVE CORP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FLS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0000EE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26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4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</w:t>
            </w:r>
          </w:p>
        </w:tc>
        <w:tc>
          <w:tcPr>
            <w:tcW w:w="3780" w:type="dxa"/>
            <w:vAlign w:val="bottom"/>
            <w:tcBorders>
              <w:top w:val="single" w:sz="8" w:color="2C2C2C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4"/>
            <w:vMerge w:val="restart"/>
          </w:tcPr>
          <w:p>
            <w:pPr>
              <w:ind w:left="1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03/28/2019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5215 NORTH O'CONNOR BLVD SUITE 2300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-5" w:right="660" w:firstLine="5"/>
        <w:spacing w:after="0" w:line="255" w:lineRule="auto"/>
        <w:tabs>
          <w:tab w:leader="none" w:pos="144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tbl>
      <w:tblPr>
        <w:tblLayout w:type="fixed"/>
        <w:tblInd w:w="21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1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President, FCO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5"/>
            <w:col w:w="3475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63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IRVING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TX</w:t>
            </w:r>
          </w:p>
        </w:tc>
        <w:tc>
          <w:tcPr>
            <w:tcW w:w="16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75039</w:t>
            </w:r>
          </w:p>
        </w:tc>
      </w:tr>
      <w:tr>
        <w:trPr>
          <w:trHeight w:val="15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200"/>
        <w:spacing w:after="0" w:line="235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25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740" w:type="dxa"/>
            <w:vAlign w:val="bottom"/>
            <w:gridSpan w:val="6"/>
          </w:tcPr>
          <w:p>
            <w:pPr>
              <w:ind w:left="1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  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6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03/28/2019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283</w:t>
            </w:r>
          </w:p>
        </w:tc>
        <w:tc>
          <w:tcPr>
            <w:tcW w:w="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22,413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03/28/2019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84</w:t>
            </w:r>
          </w:p>
        </w:tc>
        <w:tc>
          <w:tcPr>
            <w:tcW w:w="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44.74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22,329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9"/>
              </w:rPr>
              <w:t>Performance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03/28/2019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2,610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2,610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22,250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Rights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 w:right="240" w:firstLine="7"/>
        <w:spacing w:after="0" w:line="254" w:lineRule="auto"/>
        <w:tabs>
          <w:tab w:leader="none" w:pos="174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Each performance right represented a contingent right to receive one share of the issuer's common stock at vesting. The performance rights vested at a rate of 10.3% (plus dividends accrued on the underlying shares) based on: 1) the issuer's average return on net assets ("RONA") and 2) the issuer's growth in bookings as compared to GDP growth of countries in the Organisation for Economic Co-operation and Development during a three-year performance cycle beginning on January 1, 2016 and ending on December 31, 2018.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86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Akshar C. Patel, attorney-in-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04/01/2019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4359910</wp:posOffset>
            </wp:positionH>
            <wp:positionV relativeFrom="paragraph">
              <wp:posOffset>-27940</wp:posOffset>
            </wp:positionV>
            <wp:extent cx="140652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4359910</wp:posOffset>
            </wp:positionH>
            <wp:positionV relativeFrom="paragraph">
              <wp:posOffset>-16510</wp:posOffset>
            </wp:positionV>
            <wp:extent cx="1657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5814695</wp:posOffset>
            </wp:positionH>
            <wp:positionV relativeFrom="paragraph">
              <wp:posOffset>-84455</wp:posOffset>
            </wp:positionV>
            <wp:extent cx="50355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7"/>
        <w:spacing w:after="0" w:line="320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96627" TargetMode="External"/><Relationship Id="rId13" Type="http://schemas.openxmlformats.org/officeDocument/2006/relationships/hyperlink" Target="http://www.sec.gov/cgi-bin/browse-edgar?action=getcompany&amp;CIK=000003062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2019-12-23T14:17:29Z</dcterms:created>
  <dcterms:modified xsi:type="dcterms:W3CDTF">2019-12-23T14:17:29Z</dcterms:modified>
</cp:coreProperties>
</file>